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Naziv ustanove: OSNOVNA ŠKOLA RETFALA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Adresa: Kapelska 51a, 31000 Osijek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OIB: 69433479721 , RKP: 9562, MB: 3013901 , ŠIFRA USTANOVE: 14-060-019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RAZINA: 31, ŠIFRA DJELATNOSTI: 8520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4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POSEBNI IZVJEŠTAJI U POLUGODIŠNJEM IZVJEŠTAJU O IZVRŠENJU FINANCIJSKOG PLANA</w:t>
      </w:r>
    </w:p>
    <w:p>
      <w:pPr>
        <w:ind w:firstLine="499"/>
        <w:jc w:val="both"/>
        <w:rPr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</w:p>
    <w:p>
      <w:pPr>
        <w:ind w:firstLine="4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Izvještaj o zaduživanju na domaćem i stranom tržištu novca i kapitala</w:t>
      </w: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OŠ </w:t>
      </w:r>
      <w:proofErr w:type="spellStart"/>
      <w:r>
        <w:rPr>
          <w:sz w:val="28"/>
          <w:szCs w:val="28"/>
        </w:rPr>
        <w:t>Retfala</w:t>
      </w:r>
      <w:proofErr w:type="spellEnd"/>
      <w:r>
        <w:rPr>
          <w:sz w:val="28"/>
          <w:szCs w:val="28"/>
        </w:rPr>
        <w:t xml:space="preserve"> se nije zaduživala na domaćem i stranom tržištu novca i kapitala tijekom 2026. godine.</w:t>
      </w:r>
    </w:p>
    <w:p>
      <w:pPr>
        <w:ind w:firstLine="499"/>
        <w:jc w:val="both"/>
        <w:rPr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</w:p>
    <w:p>
      <w:pPr>
        <w:ind w:firstLine="4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Izvještaj o korištenju sredstava fondova Europske unije</w:t>
      </w: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OŠ </w:t>
      </w:r>
      <w:proofErr w:type="spellStart"/>
      <w:r>
        <w:rPr>
          <w:sz w:val="28"/>
          <w:szCs w:val="28"/>
        </w:rPr>
        <w:t>Retfala</w:t>
      </w:r>
      <w:proofErr w:type="spellEnd"/>
      <w:r>
        <w:rPr>
          <w:sz w:val="28"/>
          <w:szCs w:val="28"/>
        </w:rPr>
        <w:t xml:space="preserve"> tijekom 2026. godine nije ostvarila sredstva temeljem fondova Europske Unije.</w:t>
      </w:r>
    </w:p>
    <w:p>
      <w:pPr>
        <w:ind w:firstLine="499"/>
        <w:jc w:val="both"/>
        <w:rPr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</w:p>
    <w:p>
      <w:pPr>
        <w:ind w:firstLine="4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Izvještaj o danim zajmovima i potraživanjima po danim zajmovima</w:t>
      </w: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OŠ </w:t>
      </w:r>
      <w:proofErr w:type="spellStart"/>
      <w:r>
        <w:rPr>
          <w:sz w:val="28"/>
          <w:szCs w:val="28"/>
        </w:rPr>
        <w:t>Retfala</w:t>
      </w:r>
      <w:proofErr w:type="spellEnd"/>
      <w:r>
        <w:rPr>
          <w:sz w:val="28"/>
          <w:szCs w:val="28"/>
        </w:rPr>
        <w:t xml:space="preserve"> tijekom 2026. godine nije davala zajmove niti imala potraživanja po danim zajmovima.</w:t>
      </w: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Izvještaj o stanju potraživanja i dospjelih obveza te o stanju potencijalnih obveza po osnovi sudskih sporova</w:t>
      </w: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rPr>
          <w:sz w:val="28"/>
          <w:szCs w:val="28"/>
        </w:rPr>
      </w:pPr>
    </w:p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Ukupno stanje obveza na dan 30.06.2026. iznosi 249.765,13</w:t>
      </w:r>
    </w:p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eura.</w:t>
      </w:r>
    </w:p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Obveze za zaposlene u ukupnom iznosu od 188.302,32eura, što se odnosi na :</w:t>
      </w:r>
    </w:p>
    <w:p>
      <w:pPr>
        <w:tabs>
          <w:tab w:val="left" w:pos="1170"/>
        </w:tabs>
        <w:spacing w:line="276" w:lineRule="auto"/>
        <w:jc w:val="both"/>
        <w:rPr>
          <w:noProof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231110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Obveze za zaposlene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Plaća MZO, PB i PUN 06/2026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114.865,06</w:t>
            </w:r>
          </w:p>
        </w:tc>
      </w:tr>
      <w:tr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231220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Obveze za bolovanje na teret HZZO-a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Plaća COP 06/2026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1.586,46</w:t>
            </w:r>
          </w:p>
        </w:tc>
      </w:tr>
      <w:tr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231410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Porez na dohodak iz plaća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Plaća MZO, PB i PUN 06/2026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12.072,44</w:t>
            </w:r>
          </w:p>
        </w:tc>
      </w:tr>
      <w:tr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231510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MIO I. i II. stup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Plaća MZO, PB i PUN 06/2026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26.486,58</w:t>
            </w:r>
          </w:p>
        </w:tc>
      </w:tr>
      <w:tr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231620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Obveze za doprinose za </w:t>
            </w:r>
            <w:proofErr w:type="spellStart"/>
            <w:r>
              <w:rPr>
                <w:sz w:val="28"/>
                <w:szCs w:val="28"/>
              </w:rPr>
              <w:t>obv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Zdr</w:t>
            </w:r>
            <w:proofErr w:type="spellEnd"/>
            <w:r>
              <w:rPr>
                <w:sz w:val="28"/>
                <w:szCs w:val="28"/>
              </w:rPr>
              <w:t>. Osiguranje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Plaća MZO, PB i PUN 06/2026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24.882,47</w:t>
            </w:r>
          </w:p>
        </w:tc>
      </w:tr>
      <w:tr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231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Obveze za zaposlene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/>
            </w:r>
            <w:r>
              <w:rPr>
                <w:b/>
                <w:bCs/>
                <w:sz w:val="28"/>
                <w:szCs w:val="28"/>
              </w:rPr>
              <w:instrText xml:space="preserve"> =SUM(ABOVE) </w:instrText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noProof/>
                <w:sz w:val="28"/>
                <w:szCs w:val="28"/>
              </w:rPr>
              <w:t>179.893,01</w:t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</w:tr>
    </w:tbl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Obveze za materijalne rashode su iskazane u ukupnom iznosu od 37.712,20 eura, što se odnosi na: </w:t>
      </w:r>
    </w:p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</w:p>
    <w:tbl>
      <w:tblPr>
        <w:tblStyle w:val="Reetkatablice"/>
        <w:tblW w:w="9130" w:type="dxa"/>
        <w:tblLook w:val="04A0" w:firstRow="1" w:lastRow="0" w:firstColumn="1" w:lastColumn="0" w:noHBand="0" w:noVBand="1"/>
      </w:tblPr>
      <w:tblGrid>
        <w:gridCol w:w="1476"/>
        <w:gridCol w:w="2909"/>
        <w:gridCol w:w="2909"/>
        <w:gridCol w:w="1836"/>
      </w:tblGrid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232120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Naknada za prijevoz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Plaća MZO, PB i PUN 06/2026</w:t>
            </w: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2.059,93</w:t>
            </w:r>
          </w:p>
        </w:tc>
      </w:tr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232210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Uredski materijale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953,07</w:t>
            </w:r>
          </w:p>
        </w:tc>
      </w:tr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232220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Materijal i sirovine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7.809,57</w:t>
            </w:r>
          </w:p>
        </w:tc>
      </w:tr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232240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Mat. i dijelovi za tekuće i </w:t>
            </w:r>
            <w:proofErr w:type="spellStart"/>
            <w:r>
              <w:rPr>
                <w:sz w:val="28"/>
                <w:szCs w:val="28"/>
              </w:rPr>
              <w:t>inv</w:t>
            </w:r>
            <w:proofErr w:type="spellEnd"/>
            <w:r>
              <w:rPr>
                <w:sz w:val="28"/>
                <w:szCs w:val="28"/>
              </w:rPr>
              <w:t>. održavanje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80,04</w:t>
            </w:r>
          </w:p>
        </w:tc>
      </w:tr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232310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Usluge </w:t>
            </w:r>
            <w:proofErr w:type="spellStart"/>
            <w:r>
              <w:rPr>
                <w:sz w:val="28"/>
                <w:szCs w:val="28"/>
              </w:rPr>
              <w:t>telefona,pošte</w:t>
            </w:r>
            <w:proofErr w:type="spellEnd"/>
            <w:r>
              <w:rPr>
                <w:sz w:val="28"/>
                <w:szCs w:val="28"/>
              </w:rPr>
              <w:t xml:space="preserve"> i prijevoza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248,03</w:t>
            </w:r>
          </w:p>
        </w:tc>
      </w:tr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232340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Komunalne usluge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1.196,98</w:t>
            </w:r>
          </w:p>
        </w:tc>
      </w:tr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232370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Intelektualne i osobne usluge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95,00</w:t>
            </w:r>
          </w:p>
        </w:tc>
      </w:tr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232390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Ostale usluge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49,78</w:t>
            </w:r>
          </w:p>
        </w:tc>
      </w:tr>
      <w:tr>
        <w:tc>
          <w:tcPr>
            <w:tcW w:w="147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232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Obveze za materijalne rashode</w:t>
            </w:r>
          </w:p>
        </w:tc>
        <w:tc>
          <w:tcPr>
            <w:tcW w:w="2909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6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/>
            </w:r>
            <w:r>
              <w:rPr>
                <w:b/>
                <w:bCs/>
                <w:sz w:val="28"/>
                <w:szCs w:val="28"/>
              </w:rPr>
              <w:instrText xml:space="preserve"> =SUM(ABOVE) </w:instrText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>
              <w:rPr>
                <w:b/>
                <w:bCs/>
                <w:sz w:val="28"/>
                <w:szCs w:val="28"/>
              </w:rPr>
              <w:fldChar w:fldCharType="begin"/>
            </w:r>
            <w:r>
              <w:rPr>
                <w:b/>
                <w:bCs/>
                <w:sz w:val="28"/>
                <w:szCs w:val="28"/>
              </w:rPr>
              <w:instrText xml:space="preserve"> =SUM(ABOVE) </w:instrText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noProof/>
                <w:sz w:val="28"/>
                <w:szCs w:val="28"/>
              </w:rPr>
              <w:t>12.492,4</w:t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1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Obveze proračunskih korisnika za povrat u proračun u iznosu od 20.399,40 eura, odnose se na obvezu povrata bolovanja na teret HZZO-a.</w:t>
      </w:r>
    </w:p>
    <w:p>
      <w:pPr>
        <w:tabs>
          <w:tab w:val="left" w:pos="1170"/>
        </w:tabs>
        <w:spacing w:line="276" w:lineRule="auto"/>
        <w:jc w:val="both"/>
        <w:rPr>
          <w:noProof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Obveze proračunskih korisnika za povrat u proračun</w:t>
            </w: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>
            <w:pPr>
              <w:tabs>
                <w:tab w:val="left" w:pos="11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20.399,40</w:t>
            </w:r>
          </w:p>
        </w:tc>
      </w:tr>
    </w:tbl>
    <w:p>
      <w:pPr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Sa stanjem na dan 30.06.2026. godine nema evidentiranih potencijalnih obveza po osnovi sudskih sporova u tijeku.</w:t>
      </w:r>
    </w:p>
    <w:p>
      <w:pPr>
        <w:ind w:firstLine="499"/>
        <w:jc w:val="both"/>
        <w:rPr>
          <w:b/>
          <w:sz w:val="28"/>
          <w:szCs w:val="28"/>
        </w:rPr>
      </w:pPr>
    </w:p>
    <w:p>
      <w:pPr>
        <w:jc w:val="both"/>
        <w:rPr>
          <w:b/>
          <w:sz w:val="28"/>
          <w:szCs w:val="28"/>
        </w:rPr>
      </w:pPr>
    </w:p>
    <w:p>
      <w:pPr>
        <w:ind w:firstLine="4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Izvještaj o danim jamstvima i plaćanjima po protestiranim jamstvima (opcionalno)</w:t>
      </w:r>
    </w:p>
    <w:p>
      <w:pPr>
        <w:ind w:firstLine="499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OŠ </w:t>
      </w:r>
      <w:proofErr w:type="spellStart"/>
      <w:r>
        <w:rPr>
          <w:sz w:val="28"/>
          <w:szCs w:val="28"/>
        </w:rPr>
        <w:t>Retfala</w:t>
      </w:r>
      <w:proofErr w:type="spellEnd"/>
      <w:r>
        <w:rPr>
          <w:sz w:val="28"/>
          <w:szCs w:val="28"/>
        </w:rPr>
        <w:t xml:space="preserve"> nije davala jamstva niti imala plaćanja po protestiranim jamstvima tijekom 2026. godine</w:t>
      </w:r>
      <w:r>
        <w:rPr>
          <w:b/>
          <w:sz w:val="28"/>
          <w:szCs w:val="28"/>
        </w:rPr>
        <w:t>.</w:t>
      </w:r>
    </w:p>
    <w:p>
      <w:pPr>
        <w:ind w:firstLine="499"/>
        <w:jc w:val="both"/>
        <w:rPr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  <w:t xml:space="preserve">               Ravnatelj</w:t>
      </w:r>
    </w:p>
    <w:p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tLeast"/>
        <w:jc w:val="right"/>
        <w:textAlignment w:val="baseline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  <w:t xml:space="preserve">         ________________</w:t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</w:p>
    <w:p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ab/>
        <w:t>Igor Kopić, prof.</w:t>
      </w:r>
    </w:p>
    <w:p>
      <w:pPr>
        <w:rPr>
          <w:sz w:val="28"/>
          <w:szCs w:val="28"/>
        </w:rPr>
      </w:pPr>
      <w:bookmarkStart w:id="0" w:name="_GoBack"/>
      <w:bookmarkEnd w:id="0"/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E0F94"/>
    <w:multiLevelType w:val="hybridMultilevel"/>
    <w:tmpl w:val="B8EE22D2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D927274"/>
    <w:multiLevelType w:val="hybridMultilevel"/>
    <w:tmpl w:val="33B8A846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34822B56"/>
    <w:multiLevelType w:val="hybridMultilevel"/>
    <w:tmpl w:val="8D301440"/>
    <w:lvl w:ilvl="0" w:tplc="08DAE45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A1011"/>
    <w:multiLevelType w:val="hybridMultilevel"/>
    <w:tmpl w:val="503C6C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404B5"/>
    <w:multiLevelType w:val="hybridMultilevel"/>
    <w:tmpl w:val="0AEEAFEA"/>
    <w:lvl w:ilvl="0" w:tplc="B99E9A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21C52"/>
    <w:multiLevelType w:val="hybridMultilevel"/>
    <w:tmpl w:val="66B0DC1A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2C0E"/>
    <w:multiLevelType w:val="hybridMultilevel"/>
    <w:tmpl w:val="86A4E3E0"/>
    <w:lvl w:ilvl="0" w:tplc="9E42D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AA1A31"/>
    <w:multiLevelType w:val="hybridMultilevel"/>
    <w:tmpl w:val="B0426D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1114A"/>
    <w:multiLevelType w:val="hybridMultilevel"/>
    <w:tmpl w:val="CC568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B77D8"/>
    <w:multiLevelType w:val="hybridMultilevel"/>
    <w:tmpl w:val="E76A63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B4996"/>
    <w:multiLevelType w:val="hybridMultilevel"/>
    <w:tmpl w:val="8E48D4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B7A38"/>
    <w:multiLevelType w:val="hybridMultilevel"/>
    <w:tmpl w:val="FFE2088A"/>
    <w:lvl w:ilvl="0" w:tplc="DEFC1124">
      <w:start w:val="1"/>
      <w:numFmt w:val="decimal"/>
      <w:lvlText w:val="(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1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09131-B453-4810-AEA3-56098B2F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box463272">
    <w:name w:val="box_463272"/>
    <w:basedOn w:val="Normal"/>
    <w:pPr>
      <w:spacing w:before="100" w:beforeAutospacing="1" w:after="225"/>
    </w:pPr>
  </w:style>
  <w:style w:type="table" w:styleId="Reetkatablice">
    <w:name w:val="Table Grid"/>
    <w:basedOn w:val="Obinatabli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9c008c5746d8bd0b7ddefaf68223239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00a94787328d935700254a82aa3fe154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08A1D-792B-42E5-B0ED-17CCC4A0B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2A3A8-6E0E-4B3F-AC62-6BEEC04A8B2F}">
  <ds:schemaRefs>
    <ds:schemaRef ds:uri="http://purl.org/dc/dcmitype/"/>
    <ds:schemaRef ds:uri="http://purl.org/dc/terms/"/>
    <ds:schemaRef ds:uri="http://schemas.microsoft.com/office/2006/documentManagement/types"/>
    <ds:schemaRef ds:uri="8f68a5de-f7da-44ea-a0a6-768bc904f3ae"/>
    <ds:schemaRef ds:uri="http://schemas.openxmlformats.org/package/2006/metadata/core-properties"/>
    <ds:schemaRef ds:uri="6d61b630-1d91-40ab-8e9b-8e9455b049fe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C0AE685-9B8A-4038-828E-E91169E6C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F56EE7-EF7A-4CFE-815F-7A21415BC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Klobučar</dc:creator>
  <cp:keywords/>
  <dc:description/>
  <cp:lastModifiedBy>Anela Bordi</cp:lastModifiedBy>
  <cp:revision>6</cp:revision>
  <cp:lastPrinted>2025-07-16T06:49:00Z</cp:lastPrinted>
  <dcterms:created xsi:type="dcterms:W3CDTF">2025-07-16T06:49:00Z</dcterms:created>
  <dcterms:modified xsi:type="dcterms:W3CDTF">2026-07-13T09:52:00Z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ea1c34d3-9db9-4a82-ab4a-a69786f0d97c</vt:lpwstr>
  </property>
  <property fmtid="{D5CDD505-2E9C-101B-9397-08002B2CF9AE}" pid="3" name="ContentTypeId">
    <vt:lpwstr>0x01010056BB4E64C075144A97774078E840ADA8</vt:lpwstr>
  </property>
  <property fmtid="{D5CDD505-2E9C-101B-9397-08002B2CF9AE}" pid="4" name="MediaServiceImageTags">
    <vt:lpwstr/>
  </property>
</Properties>
</file>