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OBRAZLOŽENJE POSEBNOG DIJELA IZVJEŠTAJA O POLUGODIŠNJEM IZVRŠENJU FINANCIJSKOG PLANA ZA 2026. GODINU</w:t>
      </w:r>
    </w:p>
    <w:p>
      <w:pPr>
        <w:keepNext/>
        <w:pBdr>
          <w:top w:val="single" w:sz="4" w:space="1" w:color="auto"/>
          <w:bottom w:val="single" w:sz="4" w:space="1" w:color="auto"/>
        </w:pBdr>
        <w:shd w:val="clear" w:color="auto" w:fill="E6E6E6"/>
        <w:overflowPunct w:val="0"/>
        <w:autoSpaceDE w:val="0"/>
        <w:autoSpaceDN w:val="0"/>
        <w:adjustRightInd w:val="0"/>
        <w:spacing w:before="720" w:after="120" w:line="240" w:lineRule="auto"/>
        <w:jc w:val="both"/>
        <w:textAlignment w:val="baseline"/>
        <w:outlineLvl w:val="1"/>
        <w:rPr>
          <w:rFonts w:ascii="Times New Roman" w:eastAsia="Calibri" w:hAnsi="Times New Roman" w:cs="Times New Roman"/>
          <w:b/>
          <w:color w:val="000000" w:themeColor="text1"/>
          <w:spacing w:val="2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 w:themeColor="text1"/>
          <w:spacing w:val="20"/>
          <w:sz w:val="28"/>
          <w:szCs w:val="28"/>
        </w:rPr>
        <w:t>Sažetak djelokruga rada</w:t>
      </w:r>
    </w:p>
    <w:p>
      <w:pPr>
        <w:spacing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Djelatnost osnovnih škola obuhvaća djelatnost osnovnog općeg obrazovanja i druge oblike obrazovanja djece i mladih. </w:t>
      </w:r>
      <w:r>
        <w:rPr>
          <w:rFonts w:ascii="Times New Roman" w:hAnsi="Times New Roman" w:cs="Times New Roman"/>
          <w:iCs/>
          <w:sz w:val="28"/>
          <w:szCs w:val="28"/>
        </w:rPr>
        <w:t>Plan  škole je osnovnoškolski odgoj učenika koji će unaprjeđivati kvalitetu nastave kao središnjeg i najvažnijeg procesa koji se odvija u školi.</w:t>
      </w:r>
    </w:p>
    <w:p>
      <w:pPr>
        <w:spacing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Strateški ciljevi škole se donose u okviru Školskog kurikuluma, na temelju Nacionalnog kurikuluma i nastavnog plana i programa koji uključuje sljedeće poslove:</w:t>
      </w:r>
    </w:p>
    <w:p>
      <w:pPr>
        <w:pStyle w:val="Odlomakpopisa"/>
        <w:numPr>
          <w:ilvl w:val="0"/>
          <w:numId w:val="11"/>
        </w:numPr>
        <w:spacing w:after="160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Upis u školu i ispis iz škole s vođenjem odgovarajuće evidencije i dokumentacije</w:t>
      </w:r>
    </w:p>
    <w:p>
      <w:pPr>
        <w:pStyle w:val="Odlomakpopisa"/>
        <w:numPr>
          <w:ilvl w:val="0"/>
          <w:numId w:val="11"/>
        </w:numPr>
        <w:spacing w:after="160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Organizacija i izvođenje nastave</w:t>
      </w:r>
    </w:p>
    <w:p>
      <w:pPr>
        <w:pStyle w:val="Odlomakpopisa"/>
        <w:numPr>
          <w:ilvl w:val="0"/>
          <w:numId w:val="11"/>
        </w:numPr>
        <w:spacing w:after="160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Vrednovanje i ocjenjivanje učenika te izricanje i provođenje pedagoških mjera</w:t>
      </w:r>
    </w:p>
    <w:p>
      <w:pPr>
        <w:pStyle w:val="Odlomakpopisa"/>
        <w:numPr>
          <w:ilvl w:val="0"/>
          <w:numId w:val="11"/>
        </w:numPr>
        <w:spacing w:after="160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Izdavanje javnih isprava i drugih potvrda</w:t>
      </w:r>
    </w:p>
    <w:p>
      <w:pPr>
        <w:pStyle w:val="Odlomakpopisa"/>
        <w:numPr>
          <w:ilvl w:val="0"/>
          <w:numId w:val="11"/>
        </w:numPr>
        <w:spacing w:after="160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 xml:space="preserve">Upisivanje podataka o odgojno-obrazovnom radu u zajednički elektronički upisnik </w:t>
      </w:r>
    </w:p>
    <w:tbl>
      <w:tblPr>
        <w:tblStyle w:val="Reetkatablice"/>
        <w:tblW w:w="9175" w:type="dxa"/>
        <w:tblLook w:val="04A0" w:firstRow="1" w:lastRow="0" w:firstColumn="1" w:lastColumn="0" w:noHBand="0" w:noVBand="1"/>
      </w:tblPr>
      <w:tblGrid>
        <w:gridCol w:w="1356"/>
        <w:gridCol w:w="3317"/>
        <w:gridCol w:w="1701"/>
        <w:gridCol w:w="1701"/>
        <w:gridCol w:w="1100"/>
      </w:tblGrid>
      <w:tr>
        <w:tc>
          <w:tcPr>
            <w:tcW w:w="1356" w:type="dxa"/>
            <w:shd w:val="clear" w:color="auto" w:fill="AEAAAA" w:themeFill="background2" w:themeFillShade="BF"/>
          </w:tcPr>
          <w:p>
            <w:pPr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Redni broj</w:t>
            </w:r>
          </w:p>
        </w:tc>
        <w:tc>
          <w:tcPr>
            <w:tcW w:w="3317" w:type="dxa"/>
            <w:shd w:val="clear" w:color="auto" w:fill="AEAAAA" w:themeFill="background2" w:themeFillShade="BF"/>
          </w:tcPr>
          <w:p>
            <w:pPr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Naziv aktivnosti/projekta</w:t>
            </w:r>
          </w:p>
        </w:tc>
        <w:tc>
          <w:tcPr>
            <w:tcW w:w="1701" w:type="dxa"/>
            <w:shd w:val="clear" w:color="auto" w:fill="AEAAAA" w:themeFill="background2" w:themeFillShade="BF"/>
          </w:tcPr>
          <w:p>
            <w:pPr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Plan 2026. (EUR)</w:t>
            </w:r>
          </w:p>
        </w:tc>
        <w:tc>
          <w:tcPr>
            <w:tcW w:w="1701" w:type="dxa"/>
            <w:shd w:val="clear" w:color="auto" w:fill="AEAAAA" w:themeFill="background2" w:themeFillShade="BF"/>
          </w:tcPr>
          <w:p>
            <w:pPr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Izvršenje 2026. (EUR)</w:t>
            </w:r>
          </w:p>
        </w:tc>
        <w:tc>
          <w:tcPr>
            <w:tcW w:w="1100" w:type="dxa"/>
            <w:shd w:val="clear" w:color="auto" w:fill="AEAAAA" w:themeFill="background2" w:themeFillShade="BF"/>
          </w:tcPr>
          <w:p>
            <w:pPr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Indeks</w:t>
            </w:r>
          </w:p>
        </w:tc>
      </w:tr>
      <w:tr>
        <w:tc>
          <w:tcPr>
            <w:tcW w:w="1356" w:type="dxa"/>
          </w:tcPr>
          <w:p>
            <w:pPr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1.</w:t>
            </w:r>
          </w:p>
        </w:tc>
        <w:tc>
          <w:tcPr>
            <w:tcW w:w="3317" w:type="dxa"/>
          </w:tcPr>
          <w:p>
            <w:pPr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1049 Redovna djelatnost osnovnih škola</w:t>
            </w:r>
          </w:p>
        </w:tc>
        <w:tc>
          <w:tcPr>
            <w:tcW w:w="1701" w:type="dxa"/>
          </w:tcPr>
          <w:p>
            <w:pPr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2.754.184,88</w:t>
            </w:r>
          </w:p>
        </w:tc>
        <w:tc>
          <w:tcPr>
            <w:tcW w:w="1701" w:type="dxa"/>
          </w:tcPr>
          <w:p>
            <w:pPr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1.304.757,63</w:t>
            </w:r>
          </w:p>
        </w:tc>
        <w:tc>
          <w:tcPr>
            <w:tcW w:w="1100" w:type="dxa"/>
          </w:tcPr>
          <w:p>
            <w:pPr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47,37%</w:t>
            </w:r>
          </w:p>
        </w:tc>
      </w:tr>
      <w:tr>
        <w:tc>
          <w:tcPr>
            <w:tcW w:w="1356" w:type="dxa"/>
          </w:tcPr>
          <w:p>
            <w:pPr>
              <w:rPr>
                <w:rFonts w:eastAsia="Calibri"/>
                <w:bCs/>
                <w:sz w:val="28"/>
                <w:szCs w:val="28"/>
              </w:rPr>
            </w:pPr>
          </w:p>
        </w:tc>
        <w:tc>
          <w:tcPr>
            <w:tcW w:w="3317" w:type="dxa"/>
          </w:tcPr>
          <w:p>
            <w:pPr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UKUPNO</w:t>
            </w:r>
          </w:p>
        </w:tc>
        <w:tc>
          <w:tcPr>
            <w:tcW w:w="1701" w:type="dxa"/>
          </w:tcPr>
          <w:p>
            <w:pPr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2.754.184,88</w:t>
            </w:r>
          </w:p>
        </w:tc>
        <w:tc>
          <w:tcPr>
            <w:tcW w:w="1701" w:type="dxa"/>
          </w:tcPr>
          <w:p>
            <w:pPr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1.304.757,63</w:t>
            </w:r>
          </w:p>
        </w:tc>
        <w:tc>
          <w:tcPr>
            <w:tcW w:w="1100" w:type="dxa"/>
          </w:tcPr>
          <w:p>
            <w:pPr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47,37%</w:t>
            </w:r>
          </w:p>
        </w:tc>
      </w:tr>
    </w:tbl>
    <w:p>
      <w:pPr>
        <w:keepNext/>
        <w:pBdr>
          <w:top w:val="single" w:sz="4" w:space="1" w:color="auto"/>
          <w:bottom w:val="single" w:sz="4" w:space="1" w:color="auto"/>
        </w:pBdr>
        <w:shd w:val="clear" w:color="auto" w:fill="E6E6E6"/>
        <w:overflowPunct w:val="0"/>
        <w:autoSpaceDE w:val="0"/>
        <w:autoSpaceDN w:val="0"/>
        <w:adjustRightInd w:val="0"/>
        <w:spacing w:before="720" w:after="120" w:line="240" w:lineRule="auto"/>
        <w:jc w:val="both"/>
        <w:textAlignment w:val="baseline"/>
        <w:outlineLvl w:val="1"/>
        <w:rPr>
          <w:rFonts w:ascii="Times New Roman" w:eastAsia="Calibri" w:hAnsi="Times New Roman" w:cs="Times New Roman"/>
          <w:b/>
          <w:color w:val="000000" w:themeColor="text1"/>
          <w:spacing w:val="2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 w:themeColor="text1"/>
          <w:spacing w:val="20"/>
          <w:sz w:val="28"/>
          <w:szCs w:val="28"/>
        </w:rPr>
        <w:t>1049 Osnovno školstvo i posebni programi obrazovanja</w:t>
      </w:r>
    </w:p>
    <w:p>
      <w:pPr>
        <w:pBdr>
          <w:bottom w:val="single" w:sz="4" w:space="1" w:color="auto"/>
        </w:pBd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Ciljevi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>programa 1049</w:t>
      </w:r>
    </w:p>
    <w:p>
      <w:p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GB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Djelatnost osnovnih škola obuhvaća djelatnost osnovnog općeg obrazovanja i druge oblike obrazovanja djece i mladih. </w:t>
      </w:r>
      <w:r>
        <w:rPr>
          <w:rFonts w:ascii="Times New Roman" w:hAnsi="Times New Roman" w:cs="Times New Roman"/>
          <w:sz w:val="28"/>
          <w:szCs w:val="28"/>
        </w:rPr>
        <w:t>Plan  škole je osnovnoškolski odgoj učenika koji će unaprjeđivati kvalitetu nastave kao središnjeg i najvažnijeg procesa koji se odvija u školi.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GB"/>
        </w:rPr>
        <w:t xml:space="preserve"> </w:t>
      </w:r>
    </w:p>
    <w:p>
      <w:p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GB"/>
        </w:rPr>
        <w:t xml:space="preserve">U osnovnom školstvu se ulažu sredstva za poboljšanje standarda u školama i financiraju se posebni programi obrazovanja.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Poticanje cjeloživotnog obrazovanja obrazovanje i unapređivanje znanja i kompetencija profesora i učitelja u školi.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Dobro osmišljenim i pomno isplaniranim učeničkim ekskurzijama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lastRenderedPageBreak/>
        <w:t xml:space="preserve">pored obrazovnih sadržaja nastave toga tipa utjecati na zbližavanje i razvoj prijateljskih odnosa u zajednici. 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Proširiti odgojno obrazovno djelovanje te zbrinuti učenike do povratka roditelja sa posla u sklopu programa produženog boravka. Osigurati djeci izvršavanje školskih zadaća uz potporu učitelja u produženom boravku, ali i slobodna igra i aktivnosti nakon izvršenih obveza.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GB"/>
        </w:rPr>
        <w:t>Kroz projekte školska kuhinja i školska shema sufinanciraju se osnovne potrebe učenika za kvalitetan obrok koji je svima omogućen.</w:t>
      </w:r>
    </w:p>
    <w:p>
      <w:p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Osiguravanje uvjeta za redovno funkcioniranje osnovne škole i </w:t>
      </w:r>
      <w:r>
        <w:rPr>
          <w:rFonts w:ascii="Times New Roman" w:hAnsi="Times New Roman" w:cs="Times New Roman"/>
          <w:sz w:val="28"/>
          <w:szCs w:val="28"/>
        </w:rPr>
        <w:t>izvođenje obveznog programa na propisanoj razini te njegovo obuhvaćanje sadržajima po mjeri učenika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kroz aktivnost financiranja temeljem kriterija.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>
      <w:pPr>
        <w:pBdr>
          <w:bottom w:val="single" w:sz="4" w:space="1" w:color="auto"/>
        </w:pBdr>
        <w:spacing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 w:themeColor="text1"/>
          <w:spacing w:val="20"/>
          <w:sz w:val="28"/>
          <w:szCs w:val="28"/>
        </w:rPr>
        <w:t>Povezanost programa sa strateškim dokumentima</w:t>
      </w:r>
    </w:p>
    <w:p>
      <w:pPr>
        <w:pStyle w:val="Odlomakpopisa"/>
        <w:numPr>
          <w:ilvl w:val="0"/>
          <w:numId w:val="13"/>
        </w:num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Plan razvoja Osječko – baranjske županije za razdoblje do 2027. godine</w:t>
      </w:r>
    </w:p>
    <w:p>
      <w:pPr>
        <w:pStyle w:val="Odlomakpopisa"/>
        <w:numPr>
          <w:ilvl w:val="0"/>
          <w:numId w:val="13"/>
        </w:num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Provedbeni program Grada Osijeka za razdoblje 2025. – 2029. godine</w:t>
      </w:r>
    </w:p>
    <w:p>
      <w:pPr>
        <w:pStyle w:val="Odlomakpopisa"/>
        <w:numPr>
          <w:ilvl w:val="0"/>
          <w:numId w:val="13"/>
        </w:num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Posebni cilj: Razvoj i unaprjeđenje odgojno – obrazovne i znanstveno – istraživačke djelatnosti u funkciji gospodarstva i tržišta rada</w:t>
      </w:r>
    </w:p>
    <w:p>
      <w:pPr>
        <w:pStyle w:val="Odlomakpopisa"/>
        <w:numPr>
          <w:ilvl w:val="0"/>
          <w:numId w:val="13"/>
        </w:num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Mjera 3.1. Osiguravanje kvalitete i dostupnosti odgojno – obrazovnih ustanova</w:t>
      </w:r>
    </w:p>
    <w:p>
      <w:pPr>
        <w:pStyle w:val="Odlomakpopisa"/>
        <w:numPr>
          <w:ilvl w:val="0"/>
          <w:numId w:val="13"/>
        </w:num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Izmjene i dopune proračuna Grada Osijeka (poveznica: https://uredsko.zio.hr/javniDokumenti/00999931712496_1.pdf=</w:t>
      </w:r>
    </w:p>
    <w:p>
      <w:pPr>
        <w:pBdr>
          <w:bottom w:val="single" w:sz="4" w:space="1" w:color="auto"/>
        </w:pBd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Zakonske i druge pravne osnove</w:t>
      </w:r>
    </w:p>
    <w:p>
      <w:pPr>
        <w:pStyle w:val="Odlomakpopisa"/>
        <w:numPr>
          <w:ilvl w:val="0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>Zakon o proračunu (NN 144/21)</w:t>
      </w:r>
    </w:p>
    <w:p>
      <w:pPr>
        <w:pStyle w:val="Odlomakpopisa"/>
        <w:numPr>
          <w:ilvl w:val="0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>Zakon o odgoju i obrazovanju u osnovnoj i srednjoj školi  (Narodne novine br. 87/08, 86/09, 92/10, 105/10-ispr.,  90/11, 5/12, 16/12, 86/12, 126/12-pročišćeni tekst, 94/13, 152/14, 7/17, 68/18, 98/19 i 64/20,151/22,155/23,156/23)</w:t>
      </w:r>
    </w:p>
    <w:p>
      <w:pPr>
        <w:pStyle w:val="Odlomakpopisa"/>
        <w:numPr>
          <w:ilvl w:val="0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>Program javnih potreba u osnovnom školstvu i posebnim programima obrazovanja i znanosti na području Grada Osijeka za 2026.</w:t>
      </w:r>
    </w:p>
    <w:p>
      <w:pPr>
        <w:pStyle w:val="Odlomakpopisa"/>
        <w:numPr>
          <w:ilvl w:val="0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>Odluka o kriterijima i mjerilima za utvrđivanje bilančnih prava za financiranje minimalnog financijskog standarda javnih potreba osnovnog školstva u Gradu Osijeku za 2026.</w:t>
      </w:r>
    </w:p>
    <w:p>
      <w:pPr>
        <w:pStyle w:val="Odlomakpopisa"/>
        <w:numPr>
          <w:ilvl w:val="0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>Zakon o sustavu državne uprave (NN br. 66/19)</w:t>
      </w:r>
    </w:p>
    <w:p>
      <w:pPr>
        <w:pStyle w:val="Odlomakpopisa"/>
        <w:numPr>
          <w:ilvl w:val="0"/>
          <w:numId w:val="17"/>
        </w:num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Plan rashoda za nabavu proizvedene dugotrajne imovine i dodatna ulaganja na nefinancijskoj imovini u školstvu na području Grada Osijeka za 202</w:t>
      </w:r>
      <w:r>
        <w:rPr>
          <w:rFonts w:eastAsia="Calibri"/>
          <w:sz w:val="28"/>
          <w:szCs w:val="28"/>
        </w:rPr>
        <w:t>6</w:t>
      </w:r>
      <w:r>
        <w:rPr>
          <w:rFonts w:eastAsia="Calibri"/>
          <w:sz w:val="28"/>
          <w:szCs w:val="28"/>
        </w:rPr>
        <w:t>. godinu.</w:t>
      </w:r>
    </w:p>
    <w:p>
      <w:pPr>
        <w:pStyle w:val="Odlomakpopisa"/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tbl>
      <w:tblPr>
        <w:tblpPr w:leftFromText="180" w:rightFromText="180" w:vertAnchor="text" w:horzAnchor="margin" w:tblpY="116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57"/>
        <w:gridCol w:w="1701"/>
        <w:gridCol w:w="1842"/>
        <w:gridCol w:w="1134"/>
      </w:tblGrid>
      <w:tr>
        <w:trPr>
          <w:trHeight w:val="699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  <w:t>Izvorni plan 2026. (1)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  <w:t>Izvršenje 2026. (2)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  <w:t>Indeks</w:t>
            </w:r>
          </w:p>
          <w:p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  <w:t>2/1</w:t>
            </w:r>
          </w:p>
        </w:tc>
      </w:tr>
      <w:tr>
        <w:trPr>
          <w:trHeight w:val="417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textAlignment w:val="baseline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 xml:space="preserve">A104909 Financiranje iznad minimalnog standarda i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izvanučionične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 xml:space="preserve"> nastave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1.240,00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0,00%</w:t>
            </w:r>
          </w:p>
        </w:tc>
      </w:tr>
      <w:tr>
        <w:trPr>
          <w:trHeight w:val="417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A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104910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Financiranje temeljem kriterija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23.676,00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13.548,85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57,23%</w:t>
            </w:r>
          </w:p>
        </w:tc>
      </w:tr>
      <w:tr>
        <w:trPr>
          <w:trHeight w:val="448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A104911 Financiranje temeljem stvarnih troškove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28.465,00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17.645,16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61,99%</w:t>
            </w:r>
          </w:p>
        </w:tc>
      </w:tr>
      <w:tr>
        <w:trPr>
          <w:trHeight w:val="442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A104912 Energenti u osnovnim školama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46.414,00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24.004,60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51,72%</w:t>
            </w:r>
          </w:p>
        </w:tc>
      </w:tr>
      <w:tr>
        <w:trPr>
          <w:trHeight w:val="412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A104913 Rashodi za zaposlene u osnovnim školama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1.973,000,00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943.787,44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47,84%</w:t>
            </w:r>
          </w:p>
        </w:tc>
      </w:tr>
      <w:tr>
        <w:trPr>
          <w:trHeight w:val="548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A104914 Ostali rashodi za zaposlene u osnovnim školama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82.488,00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38.170,97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46,27%</w:t>
            </w:r>
          </w:p>
        </w:tc>
      </w:tr>
      <w:tr>
        <w:trPr>
          <w:trHeight w:val="548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A104920 Produženi boravak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256.600,00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118.748,80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46,28%</w:t>
            </w:r>
          </w:p>
        </w:tc>
      </w:tr>
      <w:tr>
        <w:trPr>
          <w:trHeight w:val="548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A104930 Uređenje i opremanje škola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53.364,00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1.932,01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3,62%</w:t>
            </w:r>
          </w:p>
        </w:tc>
      </w:tr>
      <w:tr>
        <w:trPr>
          <w:trHeight w:val="548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A104931 Tekuće i investicijsko održavanje osnovnih škola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9.150,00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3.718,71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40,64%</w:t>
            </w:r>
          </w:p>
        </w:tc>
      </w:tr>
      <w:tr>
        <w:trPr>
          <w:trHeight w:val="548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A104943 Stručna vijeća, mentorstva, natjecanja, stručni ispiti i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kurikularna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reforma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22.250,00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5.250,73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23,60%</w:t>
            </w:r>
          </w:p>
        </w:tc>
      </w:tr>
      <w:tr>
        <w:trPr>
          <w:trHeight w:val="548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A104944 Besplatne menstrualne higijenske potrepštine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1.207,00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1.144,13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94,79%</w:t>
            </w:r>
          </w:p>
        </w:tc>
      </w:tr>
      <w:tr>
        <w:trPr>
          <w:trHeight w:val="548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A104950 Pokriće manjka osnovne škole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1.281,00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0,00%</w:t>
            </w:r>
          </w:p>
        </w:tc>
      </w:tr>
      <w:tr>
        <w:trPr>
          <w:trHeight w:val="548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T104906 Školska shema 2025./26.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5.721,88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5.043,47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88,14%</w:t>
            </w:r>
          </w:p>
        </w:tc>
      </w:tr>
      <w:tr>
        <w:trPr>
          <w:trHeight w:val="548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T10490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7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Školska shema 202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6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./2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7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2.600,00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0,00%</w:t>
            </w:r>
          </w:p>
        </w:tc>
      </w:tr>
      <w:tr>
        <w:trPr>
          <w:trHeight w:val="548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T104912 Osigurajmo im jednakost 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98.853,00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61.691,59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62,41%</w:t>
            </w:r>
          </w:p>
        </w:tc>
      </w:tr>
      <w:tr>
        <w:trPr>
          <w:trHeight w:val="548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T104915 Školska kuhinja 2025./26.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73.875,00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70.071,17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94,85%</w:t>
            </w:r>
          </w:p>
        </w:tc>
      </w:tr>
      <w:tr>
        <w:trPr>
          <w:trHeight w:val="548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T104921 Školska kuhinja 2026./27.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74.000,00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0,00%</w:t>
            </w:r>
          </w:p>
        </w:tc>
      </w:tr>
      <w:tr>
        <w:trPr>
          <w:trHeight w:val="602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Ukupno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1049 Redovna djelatnost OŠ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2.754.184,88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fldChar w:fldCharType="begin"/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instrText xml:space="preserve"> =SUM(ABOVE) </w:instrTex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>
              <w:rPr>
                <w:rFonts w:ascii="Times New Roman" w:eastAsia="Calibri" w:hAnsi="Times New Roman" w:cs="Times New Roman"/>
                <w:b/>
                <w:bCs/>
                <w:noProof/>
                <w:sz w:val="28"/>
                <w:szCs w:val="28"/>
              </w:rPr>
              <w:t>1.304.757,63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47,37%</w:t>
            </w:r>
          </w:p>
        </w:tc>
      </w:tr>
    </w:tbl>
    <w:p>
      <w:p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>
      <w:pPr>
        <w:pBdr>
          <w:bottom w:val="single" w:sz="4" w:space="1" w:color="auto"/>
        </w:pBd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lastRenderedPageBreak/>
        <w:t>Opis aktivnosti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</w:p>
    <w:p>
      <w:p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 xml:space="preserve">A104909 Financiranje iznad minimalnog standarda i </w:t>
      </w:r>
      <w:proofErr w:type="spellStart"/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izvanučionične</w:t>
      </w:r>
      <w:proofErr w:type="spellEnd"/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 xml:space="preserve"> nastave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</w:p>
    <w:p>
      <w:pPr>
        <w:overflowPunct w:val="0"/>
        <w:autoSpaceDE w:val="0"/>
        <w:autoSpaceDN w:val="0"/>
        <w:adjustRightInd w:val="0"/>
        <w:spacing w:line="240" w:lineRule="auto"/>
        <w:ind w:firstLine="708"/>
        <w:jc w:val="both"/>
        <w:textAlignment w:val="baseline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Rashodi namjenjeni za dnevnice učitelja škole u prirodi.</w:t>
      </w:r>
    </w:p>
    <w:p>
      <w:p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A104910 Financiranje temeljem kriterija</w:t>
      </w:r>
    </w:p>
    <w:p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Naknade troškova zaposlenika (dnevnice i naknade za službeni put, usavršavanja)</w:t>
      </w:r>
    </w:p>
    <w:p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Rashodi za materijal i energiju (uredski materijal, sredstva za čišćenje, radna odjeća)</w:t>
      </w:r>
    </w:p>
    <w:p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Rashodi za usluge (telefonske usluge, pošta, intelektualne usluge, računalne)</w:t>
      </w:r>
    </w:p>
    <w:p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Ostali nespomenuti rashodi poslovanja (reprezentacija, članarina i pristojbe)</w:t>
      </w:r>
    </w:p>
    <w:p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Ostali financijski rashodi (bankarske usluge, kamate i dr.)</w:t>
      </w:r>
    </w:p>
    <w:p>
      <w:pPr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textAlignment w:val="baseline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>
      <w:p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A104911 Financiranje temeljem stvarnih troškove</w:t>
      </w:r>
    </w:p>
    <w:p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hr-HR"/>
        </w:rPr>
      </w:pPr>
      <w:r>
        <w:rPr>
          <w:rFonts w:ascii="Times New Roman" w:eastAsia="Calibri" w:hAnsi="Times New Roman" w:cs="Times New Roman"/>
          <w:sz w:val="28"/>
          <w:szCs w:val="28"/>
          <w:lang w:eastAsia="hr-HR"/>
        </w:rPr>
        <w:t>Rashodi za materijal i usluge (pedagoška dokumentacija)</w:t>
      </w:r>
    </w:p>
    <w:p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hr-HR"/>
        </w:rPr>
      </w:pPr>
      <w:r>
        <w:rPr>
          <w:rFonts w:ascii="Times New Roman" w:eastAsia="Calibri" w:hAnsi="Times New Roman" w:cs="Times New Roman"/>
          <w:sz w:val="28"/>
          <w:szCs w:val="28"/>
          <w:lang w:eastAsia="hr-HR"/>
        </w:rPr>
        <w:t>Rashodi za usluge (obvezni zdravstveni pregledi, komunalne usluge</w:t>
      </w:r>
    </w:p>
    <w:p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hr-HR"/>
        </w:rPr>
      </w:pPr>
      <w:r>
        <w:rPr>
          <w:rFonts w:ascii="Times New Roman" w:eastAsia="Calibri" w:hAnsi="Times New Roman" w:cs="Times New Roman"/>
          <w:sz w:val="28"/>
          <w:szCs w:val="28"/>
          <w:lang w:eastAsia="hr-HR"/>
        </w:rPr>
        <w:t>Rashodi za usluge (komunalne usluge)</w:t>
      </w:r>
    </w:p>
    <w:p>
      <w:pPr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hr-HR"/>
        </w:rPr>
      </w:pPr>
    </w:p>
    <w:p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Calibri" w:hAnsi="Times New Roman" w:cs="Times New Roman"/>
          <w:b/>
          <w:sz w:val="28"/>
          <w:szCs w:val="28"/>
          <w:lang w:eastAsia="hr-HR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hr-HR"/>
        </w:rPr>
        <w:t>A104912 Energenti u osnovnim školama</w:t>
      </w:r>
    </w:p>
    <w:p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hr-HR"/>
        </w:rPr>
      </w:pPr>
      <w:r>
        <w:rPr>
          <w:rFonts w:ascii="Times New Roman" w:eastAsia="Calibri" w:hAnsi="Times New Roman" w:cs="Times New Roman"/>
          <w:sz w:val="28"/>
          <w:szCs w:val="28"/>
          <w:lang w:eastAsia="hr-HR"/>
        </w:rPr>
        <w:t>Rashodi za materijal i usluge (električna i toplinska energija)</w:t>
      </w:r>
    </w:p>
    <w:p>
      <w:pPr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hr-HR"/>
        </w:rPr>
      </w:pPr>
    </w:p>
    <w:p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A104913 Rashodi za zaposlene u osnovnim školama  </w:t>
      </w:r>
    </w:p>
    <w:p>
      <w:pPr>
        <w:jc w:val="both"/>
        <w:rPr>
          <w:rFonts w:eastAsia="Calibri"/>
          <w:bCs/>
          <w:color w:val="000000" w:themeColor="text1"/>
          <w:sz w:val="28"/>
          <w:szCs w:val="28"/>
        </w:rPr>
      </w:pPr>
      <w:r>
        <w:rPr>
          <w:rFonts w:eastAsia="Calibri"/>
          <w:sz w:val="28"/>
          <w:szCs w:val="28"/>
        </w:rPr>
        <w:t>Sredstva za zaposlene u osnovnim školama za isplatu njihovih plaća i drugih pripadajućih naknada.</w:t>
      </w:r>
    </w:p>
    <w:p>
      <w:pPr>
        <w:pStyle w:val="Odlomakpopisa"/>
        <w:jc w:val="both"/>
        <w:rPr>
          <w:rFonts w:eastAsia="Calibri"/>
          <w:bCs/>
          <w:color w:val="000000" w:themeColor="text1"/>
          <w:sz w:val="28"/>
          <w:szCs w:val="28"/>
        </w:rPr>
      </w:pPr>
    </w:p>
    <w:p>
      <w:p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 xml:space="preserve">A104914 Ostali rashodi za zaposlene u osnovnim školama  </w:t>
      </w:r>
    </w:p>
    <w:p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Kroz navedenu Aktivnost planirana su sredstva koja se odnose na isplatu Materijalnih prava djelatnika, Božićnice i Regresa te drugih prava iz Kolektivnog ugovora.</w:t>
      </w:r>
    </w:p>
    <w:p>
      <w:pPr>
        <w:pStyle w:val="Odlomakpopisa"/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sz w:val="28"/>
          <w:szCs w:val="28"/>
        </w:rPr>
      </w:pPr>
    </w:p>
    <w:p>
      <w:p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A10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 xml:space="preserve">4920 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Produženi boravak</w:t>
      </w:r>
    </w:p>
    <w:p>
      <w:p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Produženi boravak organiziran je radi proširenja odgojno-obrazovnog djelovanja te zbrinjavanja djece do povratka roditelja s posla. Program je predviđen za učenike prvih i drugih razreda te trećih i četvrtih razreda, gdje jedna grupa djece treba imati minimalno 15 učenika. </w:t>
      </w:r>
    </w:p>
    <w:p>
      <w:p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</w:p>
    <w:p>
      <w:pPr>
        <w:keepNext/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outlineLvl w:val="5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lastRenderedPageBreak/>
        <w:t>A1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04930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 xml:space="preserve"> Uređenje i opremanje škola</w:t>
      </w:r>
    </w:p>
    <w:p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Uređenje i opremanje škola podrazumijeva namjenski utrošiti sredstva prema prioritetima i/ili planu uređenja i opremanja škole.</w:t>
      </w:r>
    </w:p>
    <w:tbl>
      <w:tblPr>
        <w:tblpPr w:leftFromText="180" w:rightFromText="180" w:vertAnchor="text" w:horzAnchor="margin" w:tblpY="449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85"/>
        <w:gridCol w:w="3043"/>
        <w:gridCol w:w="1336"/>
        <w:gridCol w:w="1763"/>
        <w:gridCol w:w="2324"/>
      </w:tblGrid>
      <w:t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Redni broj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Pokazatelji uspješnosti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Polazna vrijednost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Ciljana vrijednost 202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6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Ostvarena vrijednost 202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6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.</w:t>
            </w:r>
          </w:p>
        </w:tc>
      </w:tr>
      <w:tr>
        <w:trPr>
          <w:trHeight w:val="469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Broj učenika u OŠ „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Retfala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 xml:space="preserve">“ Osijek 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529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529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529</w:t>
            </w:r>
          </w:p>
        </w:tc>
      </w:tr>
      <w:tr>
        <w:trPr>
          <w:trHeight w:val="656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 xml:space="preserve">Održavanje školske zgrade u adekvatnom stanju za odgoj i obrazovanje 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>
      <w:pPr>
        <w:pBdr>
          <w:bottom w:val="single" w:sz="4" w:space="1" w:color="auto"/>
        </w:pBdr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>
      <w:pPr>
        <w:keepNext/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outlineLvl w:val="5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>
      <w:pPr>
        <w:keepNext/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outlineLvl w:val="5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A10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4931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 w:themeColor="text1"/>
          <w:spacing w:val="20"/>
          <w:sz w:val="28"/>
          <w:szCs w:val="28"/>
        </w:rPr>
        <w:t>Tekuće i investicijsko održavanje osnovnih škola</w:t>
      </w:r>
    </w:p>
    <w:p>
      <w:pPr>
        <w:keepNext/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outlineLvl w:val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Kroz aktivnost Tekuće i investicijsko održavanje osnovnih škola financira se održavanje građevinskog objekta, postrojenja i opreme te zakonski potrebni periodični ili godišnji pregledi i održavanje specifične opreme. </w:t>
      </w:r>
    </w:p>
    <w:p>
      <w:pPr>
        <w:pBdr>
          <w:bottom w:val="single" w:sz="4" w:space="1" w:color="auto"/>
        </w:pBdr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Pokazatelji uspješnosti</w:t>
      </w:r>
    </w:p>
    <w:tbl>
      <w:tblPr>
        <w:tblpPr w:leftFromText="180" w:rightFromText="180" w:vertAnchor="text" w:horzAnchor="margin" w:tblpXSpec="right" w:tblpY="116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90"/>
        <w:gridCol w:w="4025"/>
        <w:gridCol w:w="1417"/>
        <w:gridCol w:w="1276"/>
        <w:gridCol w:w="1559"/>
      </w:tblGrid>
      <w:tr>
        <w:trPr>
          <w:trHeight w:val="983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Redni broj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Pokazatelji uspješnosti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Polazna vrijednost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Ciljana vrijednost 202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6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Ostvarena vrijednost 202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6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.</w:t>
            </w:r>
          </w:p>
        </w:tc>
      </w:tr>
      <w:tr>
        <w:trPr>
          <w:trHeight w:val="617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Broj učenika OŠ „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Retfala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 xml:space="preserve">“ Osijek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529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529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529</w:t>
            </w:r>
          </w:p>
        </w:tc>
      </w:tr>
      <w:tr>
        <w:trPr>
          <w:trHeight w:val="528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Održavanje školske zgrade u adekvatnom stanju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1</w:t>
            </w:r>
          </w:p>
        </w:tc>
      </w:tr>
    </w:tbl>
    <w:p>
      <w:pPr>
        <w:pBdr>
          <w:bottom w:val="single" w:sz="4" w:space="1" w:color="auto"/>
        </w:pBdr>
        <w:spacing w:line="240" w:lineRule="auto"/>
        <w:jc w:val="both"/>
        <w:rPr>
          <w:rFonts w:eastAsia="Calibri"/>
          <w:sz w:val="28"/>
          <w:szCs w:val="28"/>
        </w:rPr>
      </w:pPr>
    </w:p>
    <w:p>
      <w:pPr>
        <w:pBdr>
          <w:bottom w:val="single" w:sz="4" w:space="1" w:color="auto"/>
        </w:pBdr>
        <w:spacing w:line="240" w:lineRule="auto"/>
        <w:jc w:val="both"/>
        <w:rPr>
          <w:rFonts w:eastAsia="Calibri"/>
          <w:sz w:val="28"/>
          <w:szCs w:val="28"/>
        </w:rPr>
      </w:pPr>
    </w:p>
    <w:p>
      <w:p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A10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 xml:space="preserve">4943 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 xml:space="preserve">Stručna vijeća, mentorstva, natjecanja, stručni ispiti i </w:t>
      </w:r>
      <w:proofErr w:type="spellStart"/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kurikularna</w:t>
      </w:r>
      <w:proofErr w:type="spellEnd"/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 xml:space="preserve"> reforma</w:t>
      </w:r>
    </w:p>
    <w:p>
      <w:p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S ciljem unapređenja znanja profesora i učitelja u školama, djelatnici sudjeluju i/ili organiziraju razne  stručne skupove, mentorstva i natjecanja. Sredstva se za navedene aktivnosti osiguravaju kroz tekuće pomoći iz državnog proračuna. OŠ 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lastRenderedPageBreak/>
        <w:t>„</w:t>
      </w:r>
      <w:proofErr w:type="spellStart"/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Retfala</w:t>
      </w:r>
      <w:proofErr w:type="spellEnd"/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“ domaćin je Županijskom stručnom skupu razredne nastave, te polaganje stručnog ispita iz matematike.</w:t>
      </w:r>
    </w:p>
    <w:p>
      <w:p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A1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 xml:space="preserve">04944 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Besplatne menstrualne higijenske potrepštine</w:t>
      </w:r>
    </w:p>
    <w:p>
      <w:p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Vlada RH je u proračunu osigurala sredstva za učenice OŠ za opskrbu menstrualnim higijenskim potrepštinama.</w:t>
      </w:r>
    </w:p>
    <w:p>
      <w:p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T10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4906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 xml:space="preserve"> Školska shema 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2025./26.</w:t>
      </w:r>
    </w:p>
    <w:p>
      <w:p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T104907 Školska shema 2026./27.</w:t>
      </w:r>
    </w:p>
    <w:p>
      <w:p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3A3A3A"/>
          <w:sz w:val="28"/>
          <w:szCs w:val="28"/>
          <w:lang w:eastAsia="hr-HR"/>
        </w:rPr>
      </w:pP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hr-HR"/>
        </w:rPr>
        <w:t>Provedba školske sheme je dodjela besplatnih obroka voća, povrća, mlijeka i mliječnih proizvoda sa ciljem poboljšanja kvalitete prehrane, educiranja i podizanja razine znanja o važnosti zdrave prehrane i nutritivnih vrijednosti i edukacija učenika.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hr-HR"/>
        </w:rPr>
        <w:t xml:space="preserve"> Projekt se odnosi na drugo polugodište školske godine 2025./26. i prvo polugodište školske godine 2026./27.</w:t>
      </w:r>
    </w:p>
    <w:p>
      <w:p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T10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 xml:space="preserve">4912 </w:t>
      </w:r>
      <w:proofErr w:type="spellStart"/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OSIgurajmo</w:t>
      </w:r>
      <w:proofErr w:type="spellEnd"/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 xml:space="preserve"> im </w:t>
      </w:r>
      <w:proofErr w:type="spellStart"/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JEdnaKost</w:t>
      </w:r>
      <w:proofErr w:type="spellEnd"/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 xml:space="preserve"> 8</w:t>
      </w:r>
    </w:p>
    <w:p>
      <w:pPr>
        <w:overflowPunct w:val="0"/>
        <w:autoSpaceDE w:val="0"/>
        <w:autoSpaceDN w:val="0"/>
        <w:spacing w:after="12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„</w:t>
      </w:r>
      <w:proofErr w:type="spellStart"/>
      <w:r>
        <w:rPr>
          <w:rFonts w:ascii="Times New Roman" w:hAnsi="Times New Roman" w:cs="Times New Roman"/>
          <w:sz w:val="28"/>
          <w:szCs w:val="28"/>
        </w:rPr>
        <w:t>OSIgurajmo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im </w:t>
      </w:r>
      <w:proofErr w:type="spellStart"/>
      <w:r>
        <w:rPr>
          <w:rFonts w:ascii="Times New Roman" w:hAnsi="Times New Roman" w:cs="Times New Roman"/>
          <w:sz w:val="28"/>
          <w:szCs w:val="28"/>
        </w:rPr>
        <w:t>JEdnaKost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8“ projekt je Grada Osijeka kojim se financira osiguravanje pomoćnika u nastavi i stručnih komunikacijskih posrednika učenicima s teškoćama u razvoju u osnovnoškolskim odgojno-obrazovnim ustanovama.</w:t>
      </w:r>
    </w:p>
    <w:p>
      <w:p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 xml:space="preserve">T104915 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 xml:space="preserve">Školska kuhinja 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2025./26.</w:t>
      </w:r>
    </w:p>
    <w:p>
      <w:p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T104921 Školska kuhinja 2026./27.</w:t>
      </w:r>
    </w:p>
    <w:p>
      <w:p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3A3A3A"/>
          <w:sz w:val="28"/>
          <w:szCs w:val="28"/>
          <w:lang w:eastAsia="hr-HR"/>
        </w:rPr>
      </w:pPr>
      <w:r>
        <w:rPr>
          <w:rFonts w:ascii="Times New Roman" w:eastAsia="Calibri" w:hAnsi="Times New Roman" w:cs="Times New Roman"/>
          <w:sz w:val="28"/>
          <w:szCs w:val="28"/>
        </w:rPr>
        <w:t>Vlada RH u proračunu za 202</w:t>
      </w:r>
      <w:r>
        <w:rPr>
          <w:rFonts w:ascii="Times New Roman" w:eastAsia="Calibri" w:hAnsi="Times New Roman" w:cs="Times New Roman"/>
          <w:sz w:val="28"/>
          <w:szCs w:val="28"/>
        </w:rPr>
        <w:t>6.</w:t>
      </w:r>
      <w:r>
        <w:rPr>
          <w:rFonts w:ascii="Times New Roman" w:eastAsia="Calibri" w:hAnsi="Times New Roman" w:cs="Times New Roman"/>
          <w:sz w:val="28"/>
          <w:szCs w:val="28"/>
        </w:rPr>
        <w:t xml:space="preserve"> godinu planira financirati jedan obrok dnevno, u svim  osnovnim školama od prvog do osmog razreda u iznosu od 1,33 EUR po učeniku.</w:t>
      </w:r>
      <w:r>
        <w:rPr>
          <w:rFonts w:ascii="Times New Roman" w:eastAsia="Calibri" w:hAnsi="Times New Roman" w:cs="Times New Roman"/>
          <w:sz w:val="28"/>
          <w:szCs w:val="28"/>
        </w:rPr>
        <w:t xml:space="preserve"> Projekt se odnosi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hr-HR"/>
        </w:rPr>
        <w:t>na drugo polugodište školske godine 2025./26. i prvo polugodište školske godine 2026./27.</w:t>
      </w:r>
    </w:p>
    <w:p>
      <w:pPr>
        <w:pBdr>
          <w:bottom w:val="single" w:sz="4" w:space="1" w:color="auto"/>
        </w:pBd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ascii="Times New Roman" w:eastAsia="Calibri" w:hAnsi="Times New Roman" w:cs="Times New Roman"/>
          <w:color w:val="FF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Pokazatelji  uspješnosti</w:t>
      </w:r>
    </w:p>
    <w:tbl>
      <w:tblPr>
        <w:tblW w:w="97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30"/>
        <w:gridCol w:w="4327"/>
        <w:gridCol w:w="1336"/>
        <w:gridCol w:w="1533"/>
        <w:gridCol w:w="1352"/>
      </w:tblGrid>
      <w:tr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Redni broj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Pokazatelji uspješnosti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Polazna vrijednost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Ciljana vrijednost 2025.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Ostvarena vrijednost 2025.</w:t>
            </w:r>
          </w:p>
        </w:tc>
      </w:tr>
      <w:tr>
        <w:trPr>
          <w:trHeight w:val="303"/>
        </w:trPr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Broj učenika OŠ „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Retfala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 xml:space="preserve">“ Osijek 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529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529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529</w:t>
            </w:r>
          </w:p>
        </w:tc>
      </w:tr>
      <w:tr>
        <w:trPr>
          <w:trHeight w:val="610"/>
        </w:trPr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Broj zaposlenih u OŠ „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Retfala“Osijek</w:t>
            </w:r>
            <w:proofErr w:type="spellEnd"/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87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87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87</w:t>
            </w:r>
          </w:p>
        </w:tc>
      </w:tr>
      <w:tr>
        <w:trPr>
          <w:trHeight w:val="601"/>
        </w:trPr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Broj zgrada OŠ „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Retfala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“ Osijek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1</w:t>
            </w:r>
          </w:p>
        </w:tc>
      </w:tr>
      <w:tr>
        <w:trPr>
          <w:trHeight w:val="601"/>
        </w:trPr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lastRenderedPageBreak/>
              <w:t>4.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Broj učenika kojima je osigurana školska prehrana i mlijeko i voće kroz školsku shemu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529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529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529</w:t>
            </w:r>
          </w:p>
        </w:tc>
      </w:tr>
      <w:tr>
        <w:trPr>
          <w:trHeight w:val="601"/>
        </w:trPr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Broj učenika s teškoćama kojima je osiguran pomoćnik u nastavi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10</w:t>
            </w:r>
          </w:p>
        </w:tc>
      </w:tr>
      <w:tr>
        <w:trPr>
          <w:trHeight w:val="601"/>
        </w:trPr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Broj učenika u produženom boravku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150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145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145</w:t>
            </w:r>
          </w:p>
        </w:tc>
      </w:tr>
    </w:tbl>
    <w:p>
      <w:pPr>
        <w:pBdr>
          <w:bottom w:val="single" w:sz="4" w:space="1" w:color="auto"/>
        </w:pBdr>
        <w:spacing w:line="240" w:lineRule="auto"/>
        <w:jc w:val="both"/>
        <w:rPr>
          <w:rFonts w:eastAsia="Calibri"/>
          <w:sz w:val="28"/>
          <w:szCs w:val="28"/>
        </w:rPr>
      </w:pPr>
    </w:p>
    <w:p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>
      <w:pPr>
        <w:spacing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>Ravnatelj:</w:t>
      </w:r>
    </w:p>
    <w:p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Igor </w:t>
      </w:r>
      <w:proofErr w:type="spellStart"/>
      <w:r>
        <w:rPr>
          <w:rFonts w:ascii="Times New Roman" w:hAnsi="Times New Roman" w:cs="Times New Roman"/>
          <w:sz w:val="28"/>
          <w:szCs w:val="28"/>
        </w:rPr>
        <w:t>Kopić</w:t>
      </w:r>
      <w:proofErr w:type="spellEnd"/>
    </w:p>
    <w:sectPr>
      <w:footerReference w:type="default" r:id="rId10"/>
      <w:pgSz w:w="11906" w:h="16838"/>
      <w:pgMar w:top="1417" w:right="1417" w:bottom="1417" w:left="1417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81854156"/>
      <w:docPartObj>
        <w:docPartGallery w:val="Page Numbers (Bottom of Page)"/>
        <w:docPartUnique/>
      </w:docPartObj>
    </w:sdtPr>
    <w:sdtContent>
      <w:p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5F2B51"/>
    <w:multiLevelType w:val="hybridMultilevel"/>
    <w:tmpl w:val="0AA4746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44B25"/>
    <w:multiLevelType w:val="hybridMultilevel"/>
    <w:tmpl w:val="0D3C176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C640A"/>
    <w:multiLevelType w:val="hybridMultilevel"/>
    <w:tmpl w:val="29E8FA24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D480FA7"/>
    <w:multiLevelType w:val="hybridMultilevel"/>
    <w:tmpl w:val="188ABF22"/>
    <w:lvl w:ilvl="0" w:tplc="F19A2F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CE0F94"/>
    <w:multiLevelType w:val="hybridMultilevel"/>
    <w:tmpl w:val="B8EE22D2"/>
    <w:lvl w:ilvl="0" w:tplc="041A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5" w15:restartNumberingAfterBreak="0">
    <w:nsid w:val="27A063CA"/>
    <w:multiLevelType w:val="hybridMultilevel"/>
    <w:tmpl w:val="C38A29D8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927274"/>
    <w:multiLevelType w:val="hybridMultilevel"/>
    <w:tmpl w:val="33B8A846"/>
    <w:lvl w:ilvl="0" w:tplc="041A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7" w15:restartNumberingAfterBreak="0">
    <w:nsid w:val="2FFE5CB5"/>
    <w:multiLevelType w:val="hybridMultilevel"/>
    <w:tmpl w:val="68C02C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ED1FBD"/>
    <w:multiLevelType w:val="hybridMultilevel"/>
    <w:tmpl w:val="A51A3F6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BA25A3"/>
    <w:multiLevelType w:val="hybridMultilevel"/>
    <w:tmpl w:val="2BCEC8D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0464BB"/>
    <w:multiLevelType w:val="hybridMultilevel"/>
    <w:tmpl w:val="4600D474"/>
    <w:lvl w:ilvl="0" w:tplc="0996065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983941"/>
    <w:multiLevelType w:val="hybridMultilevel"/>
    <w:tmpl w:val="41388BE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14534D"/>
    <w:multiLevelType w:val="hybridMultilevel"/>
    <w:tmpl w:val="D5C69BA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C23D1C"/>
    <w:multiLevelType w:val="hybridMultilevel"/>
    <w:tmpl w:val="85FEFB7C"/>
    <w:lvl w:ilvl="0" w:tplc="F19A2F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D52C0E"/>
    <w:multiLevelType w:val="hybridMultilevel"/>
    <w:tmpl w:val="86A4E3E0"/>
    <w:lvl w:ilvl="0" w:tplc="9E42D1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71F2FE9"/>
    <w:multiLevelType w:val="hybridMultilevel"/>
    <w:tmpl w:val="97DA228A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492A066D"/>
    <w:multiLevelType w:val="hybridMultilevel"/>
    <w:tmpl w:val="634A7F5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A9746F"/>
    <w:multiLevelType w:val="hybridMultilevel"/>
    <w:tmpl w:val="645EF780"/>
    <w:lvl w:ilvl="0" w:tplc="F19A2F2A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D72835"/>
    <w:multiLevelType w:val="hybridMultilevel"/>
    <w:tmpl w:val="66A8A0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032E0B"/>
    <w:multiLevelType w:val="hybridMultilevel"/>
    <w:tmpl w:val="269EF5AC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7E838B2"/>
    <w:multiLevelType w:val="hybridMultilevel"/>
    <w:tmpl w:val="10B2C2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AB12F2"/>
    <w:multiLevelType w:val="hybridMultilevel"/>
    <w:tmpl w:val="E07A54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532D5D"/>
    <w:multiLevelType w:val="hybridMultilevel"/>
    <w:tmpl w:val="EE20F05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1017D4"/>
    <w:multiLevelType w:val="hybridMultilevel"/>
    <w:tmpl w:val="A58800A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CB33F3"/>
    <w:multiLevelType w:val="hybridMultilevel"/>
    <w:tmpl w:val="9B64ECB6"/>
    <w:lvl w:ilvl="0" w:tplc="DE4207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C53379"/>
    <w:multiLevelType w:val="hybridMultilevel"/>
    <w:tmpl w:val="B6123F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F817EE"/>
    <w:multiLevelType w:val="hybridMultilevel"/>
    <w:tmpl w:val="9528A52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B14EE3"/>
    <w:multiLevelType w:val="hybridMultilevel"/>
    <w:tmpl w:val="3DC040F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4D1D1F"/>
    <w:multiLevelType w:val="hybridMultilevel"/>
    <w:tmpl w:val="2E96B8E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D60A51"/>
    <w:multiLevelType w:val="hybridMultilevel"/>
    <w:tmpl w:val="BD1446F6"/>
    <w:lvl w:ilvl="0" w:tplc="DF6022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A8487A"/>
    <w:multiLevelType w:val="hybridMultilevel"/>
    <w:tmpl w:val="46F2298E"/>
    <w:lvl w:ilvl="0" w:tplc="F19A2F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B54792"/>
    <w:multiLevelType w:val="hybridMultilevel"/>
    <w:tmpl w:val="3E8A80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0A7EF6"/>
    <w:multiLevelType w:val="hybridMultilevel"/>
    <w:tmpl w:val="645EF780"/>
    <w:lvl w:ilvl="0" w:tplc="F19A2F2A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8"/>
  </w:num>
  <w:num w:numId="3">
    <w:abstractNumId w:val="24"/>
  </w:num>
  <w:num w:numId="4">
    <w:abstractNumId w:val="2"/>
  </w:num>
  <w:num w:numId="5">
    <w:abstractNumId w:val="19"/>
  </w:num>
  <w:num w:numId="6">
    <w:abstractNumId w:val="12"/>
  </w:num>
  <w:num w:numId="7">
    <w:abstractNumId w:val="18"/>
  </w:num>
  <w:num w:numId="8">
    <w:abstractNumId w:val="14"/>
  </w:num>
  <w:num w:numId="9">
    <w:abstractNumId w:val="6"/>
  </w:num>
  <w:num w:numId="10">
    <w:abstractNumId w:val="4"/>
  </w:num>
  <w:num w:numId="11">
    <w:abstractNumId w:val="8"/>
  </w:num>
  <w:num w:numId="12">
    <w:abstractNumId w:val="7"/>
  </w:num>
  <w:num w:numId="13">
    <w:abstractNumId w:val="11"/>
  </w:num>
  <w:num w:numId="14">
    <w:abstractNumId w:val="22"/>
  </w:num>
  <w:num w:numId="15">
    <w:abstractNumId w:val="29"/>
  </w:num>
  <w:num w:numId="16">
    <w:abstractNumId w:val="5"/>
  </w:num>
  <w:num w:numId="17">
    <w:abstractNumId w:val="20"/>
  </w:num>
  <w:num w:numId="18">
    <w:abstractNumId w:val="10"/>
  </w:num>
  <w:num w:numId="19">
    <w:abstractNumId w:val="26"/>
  </w:num>
  <w:num w:numId="20">
    <w:abstractNumId w:val="27"/>
  </w:num>
  <w:num w:numId="21">
    <w:abstractNumId w:val="21"/>
  </w:num>
  <w:num w:numId="22">
    <w:abstractNumId w:val="25"/>
  </w:num>
  <w:num w:numId="23">
    <w:abstractNumId w:val="0"/>
  </w:num>
  <w:num w:numId="24">
    <w:abstractNumId w:val="9"/>
  </w:num>
  <w:num w:numId="25">
    <w:abstractNumId w:val="23"/>
  </w:num>
  <w:num w:numId="26">
    <w:abstractNumId w:val="16"/>
  </w:num>
  <w:num w:numId="27">
    <w:abstractNumId w:val="1"/>
  </w:num>
  <w:num w:numId="28">
    <w:abstractNumId w:val="31"/>
  </w:num>
  <w:num w:numId="29">
    <w:abstractNumId w:val="3"/>
  </w:num>
  <w:num w:numId="30">
    <w:abstractNumId w:val="32"/>
  </w:num>
  <w:num w:numId="31">
    <w:abstractNumId w:val="13"/>
  </w:num>
  <w:num w:numId="32">
    <w:abstractNumId w:val="30"/>
  </w:num>
  <w:num w:numId="3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6270A8-F8CB-474C-AE79-C0DF63C67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numbering" w:customStyle="1" w:styleId="Bezpopisa1">
    <w:name w:val="Bez popisa1"/>
    <w:next w:val="Bezpopisa"/>
    <w:uiPriority w:val="99"/>
    <w:semiHidden/>
    <w:unhideWhenUsed/>
  </w:style>
  <w:style w:type="paragraph" w:styleId="Odlomakpopisa">
    <w:name w:val="List Paragraph"/>
    <w:basedOn w:val="Normal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Standard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Pr>
      <w:color w:val="0563C1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</w:style>
  <w:style w:type="paragraph" w:styleId="Podnoje">
    <w:name w:val="footer"/>
    <w:basedOn w:val="Normal"/>
    <w:link w:val="Podnoje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</w:style>
  <w:style w:type="paragraph" w:styleId="Tekstbalonia">
    <w:name w:val="Balloon Text"/>
    <w:basedOn w:val="Normal"/>
    <w:link w:val="Tekstbalonia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Segoe UI" w:hAnsi="Segoe UI" w:cs="Segoe UI"/>
      <w:sz w:val="18"/>
      <w:szCs w:val="18"/>
    </w:rPr>
  </w:style>
  <w:style w:type="character" w:styleId="Naglaeno">
    <w:name w:val="Strong"/>
    <w:basedOn w:val="Zadanifontodlomka"/>
    <w:uiPriority w:val="22"/>
    <w:qFormat/>
    <w:rPr>
      <w:b/>
      <w:bCs/>
    </w:rPr>
  </w:style>
  <w:style w:type="table" w:styleId="Reetkatablice">
    <w:name w:val="Table Grid"/>
    <w:basedOn w:val="Obinatabli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pPr>
      <w:spacing w:after="0" w:line="240" w:lineRule="auto"/>
    </w:pPr>
  </w:style>
  <w:style w:type="paragraph" w:customStyle="1" w:styleId="box463272">
    <w:name w:val="box_463272"/>
    <w:basedOn w:val="Normal"/>
    <w:pPr>
      <w:spacing w:before="100" w:beforeAutospacing="1" w:after="225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erijeenospominjanje">
    <w:name w:val="Unresolved Mention"/>
    <w:basedOn w:val="Zadanifontodlomka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F9DDA1CE174847B9B67D7432B34201" ma:contentTypeVersion="9" ma:contentTypeDescription="Create a new document." ma:contentTypeScope="" ma:versionID="306d4775493915d9f639d693775c3e1e">
  <xsd:schema xmlns:xsd="http://www.w3.org/2001/XMLSchema" xmlns:xs="http://www.w3.org/2001/XMLSchema" xmlns:p="http://schemas.microsoft.com/office/2006/metadata/properties" xmlns:ns3="9dd35aaf-4790-45c7-b93a-96698086e593" targetNamespace="http://schemas.microsoft.com/office/2006/metadata/properties" ma:root="true" ma:fieldsID="6afaa3ecb066300aeb5e513db479cedc" ns3:_="">
    <xsd:import namespace="9dd35aaf-4790-45c7-b93a-96698086e593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d35aaf-4790-45c7-b93a-96698086e593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dd35aaf-4790-45c7-b93a-96698086e593" xsi:nil="true"/>
  </documentManagement>
</p:properties>
</file>

<file path=customXml/itemProps1.xml><?xml version="1.0" encoding="utf-8"?>
<ds:datastoreItem xmlns:ds="http://schemas.openxmlformats.org/officeDocument/2006/customXml" ds:itemID="{986C4AA3-EF1E-4337-AC56-2F03F586AC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d35aaf-4790-45c7-b93a-96698086e5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DFEF8C-2144-4F6A-8282-9E21221C77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C6500F-FC6E-415B-B56C-A6105236EB2F}">
  <ds:schemaRefs>
    <ds:schemaRef ds:uri="http://www.w3.org/XML/1998/namespace"/>
    <ds:schemaRef ds:uri="http://purl.org/dc/terms/"/>
    <ds:schemaRef ds:uri="9dd35aaf-4790-45c7-b93a-96698086e593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purl.org/dc/elements/1.1/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1446</Words>
  <Characters>8248</Characters>
  <Application>Microsoft Office Word</Application>
  <DocSecurity>0</DocSecurity>
  <Lines>68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</dc:creator>
  <cp:keywords/>
  <dc:description/>
  <cp:lastModifiedBy>Anela Bordi</cp:lastModifiedBy>
  <cp:revision>2</cp:revision>
  <cp:lastPrinted>2026-04-17T05:35:00Z</cp:lastPrinted>
  <dcterms:created xsi:type="dcterms:W3CDTF">2026-07-13T10:45:00Z</dcterms:created>
  <dcterms:modified xsi:type="dcterms:W3CDTF">2026-07-13T10:45:00Z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0x01010076F9DDA1CE174847B9B67D7432B34201</vt:lpwstr>
  </property>
</Properties>
</file>