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Naziv ustanove: OSNOVNA ŠKOLA RETFALA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Adresa: Kapelska 51a, 31000 Osijek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OIB: 69433479721 , RKP: 9562, MB: 3013901 , ŠIFRA USTANOVE: 14-060-019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RAZINA: 31, ŠIFRA DJELATNOSTI: 8520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Osijek, 20.07.2026.</w:t>
      </w: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jc w:val="center"/>
        <w:outlineLvl w:val="1"/>
        <w:rPr>
          <w:b/>
          <w:noProof/>
          <w:sz w:val="28"/>
          <w:szCs w:val="28"/>
        </w:rPr>
      </w:pPr>
    </w:p>
    <w:p>
      <w:pPr>
        <w:keepNext/>
        <w:spacing w:after="120"/>
        <w:jc w:val="center"/>
        <w:outlineLvl w:val="1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POLUGODIŠNJI IZVJEŠTAJ O IZVRŠENJU FINANCIJSKOG PLANA OSNOVNE ŠKOLE RETFALA ZA RAZDOBLJE OD 01.01.2026. DO 30.06.2026. GODINE</w:t>
      </w:r>
    </w:p>
    <w:p>
      <w:pPr>
        <w:keepNext/>
        <w:spacing w:after="120"/>
        <w:jc w:val="center"/>
        <w:outlineLvl w:val="1"/>
        <w:rPr>
          <w:b/>
          <w:noProof/>
          <w:sz w:val="28"/>
          <w:szCs w:val="28"/>
        </w:rPr>
      </w:pPr>
    </w:p>
    <w:p>
      <w:pPr>
        <w:ind w:right="119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Obrazloženje općeg dijela</w:t>
      </w:r>
    </w:p>
    <w:p>
      <w:pPr>
        <w:ind w:right="119" w:firstLine="426"/>
        <w:jc w:val="both"/>
        <w:rPr>
          <w:noProof/>
          <w:color w:val="FF0000"/>
          <w:sz w:val="28"/>
          <w:szCs w:val="28"/>
        </w:rPr>
      </w:pPr>
    </w:p>
    <w:p>
      <w:pPr>
        <w:ind w:right="-23"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Polugodišnji izvještaj o izvršenju proračuna odnosno financijskog plana za 2026. izrađuje se prema odredbama Zakona o proračunu (Nar. nov., br. 144/21) temeljem</w:t>
      </w:r>
      <w:r>
        <w:rPr>
          <w:b/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članaka 81.-87. i Pravilnika o polugodišnjem i godišnjem izvještaju o izvršenju proračuna i financijskog plana (Nar. nov., br. 85/23)</w:t>
      </w:r>
      <w:r>
        <w:rPr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</w:p>
    <w:p>
      <w:pPr>
        <w:ind w:right="-23" w:firstLine="567"/>
        <w:jc w:val="both"/>
        <w:rPr>
          <w:noProof/>
          <w:sz w:val="28"/>
          <w:szCs w:val="28"/>
        </w:rPr>
      </w:pPr>
    </w:p>
    <w:p>
      <w:pPr>
        <w:ind w:right="-23" w:firstLine="708"/>
        <w:jc w:val="both"/>
        <w:rPr>
          <w:noProof/>
          <w:sz w:val="28"/>
          <w:szCs w:val="28"/>
        </w:rPr>
      </w:pPr>
    </w:p>
    <w:p>
      <w:pPr>
        <w:ind w:right="-23"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Polugodišnji </w:t>
      </w:r>
      <w:r>
        <w:rPr>
          <w:noProof/>
          <w:sz w:val="28"/>
          <w:szCs w:val="28"/>
        </w:rPr>
        <w:t>izvještaj o izvršenju proračuna sadrži:</w:t>
      </w:r>
    </w:p>
    <w:p>
      <w:pPr>
        <w:ind w:right="-23" w:firstLine="708"/>
        <w:jc w:val="both"/>
        <w:rPr>
          <w:noProof/>
          <w:sz w:val="28"/>
          <w:szCs w:val="28"/>
        </w:rPr>
      </w:pPr>
    </w:p>
    <w:p>
      <w:pPr>
        <w:pStyle w:val="Odlomakpopisa"/>
        <w:numPr>
          <w:ilvl w:val="0"/>
          <w:numId w:val="5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Opći dio: </w:t>
      </w:r>
    </w:p>
    <w:p>
      <w:pPr>
        <w:pStyle w:val="Odlomakpopisa"/>
        <w:numPr>
          <w:ilvl w:val="0"/>
          <w:numId w:val="6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sažetak Računa prihoda i rashoda i Račun financiranja</w:t>
      </w:r>
    </w:p>
    <w:p>
      <w:pPr>
        <w:pStyle w:val="Odlomakpopisa"/>
        <w:numPr>
          <w:ilvl w:val="0"/>
          <w:numId w:val="6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Račun prihoda i rashoda</w:t>
      </w:r>
    </w:p>
    <w:p>
      <w:pPr>
        <w:pStyle w:val="Odlomakpopisa"/>
        <w:numPr>
          <w:ilvl w:val="0"/>
          <w:numId w:val="6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Račun financiranja</w:t>
      </w:r>
    </w:p>
    <w:p>
      <w:pPr>
        <w:pStyle w:val="Odlomakpopisa"/>
        <w:ind w:left="1788" w:right="-23"/>
        <w:jc w:val="both"/>
        <w:rPr>
          <w:noProof/>
          <w:sz w:val="28"/>
          <w:szCs w:val="28"/>
        </w:rPr>
      </w:pPr>
    </w:p>
    <w:p>
      <w:pPr>
        <w:pStyle w:val="Odlomakpopisa"/>
        <w:numPr>
          <w:ilvl w:val="0"/>
          <w:numId w:val="5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Posebni dio:</w:t>
      </w:r>
    </w:p>
    <w:p>
      <w:pPr>
        <w:pStyle w:val="Odlomakpopisa"/>
        <w:numPr>
          <w:ilvl w:val="0"/>
          <w:numId w:val="7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Izvještaj po programskoj klasifikaciji</w:t>
      </w:r>
    </w:p>
    <w:p>
      <w:pPr>
        <w:pStyle w:val="Odlomakpopisa"/>
        <w:ind w:left="1788" w:right="-23"/>
        <w:jc w:val="both"/>
        <w:rPr>
          <w:noProof/>
          <w:sz w:val="28"/>
          <w:szCs w:val="28"/>
        </w:rPr>
      </w:pPr>
    </w:p>
    <w:p>
      <w:pPr>
        <w:pStyle w:val="Odlomakpopisa"/>
        <w:numPr>
          <w:ilvl w:val="0"/>
          <w:numId w:val="5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Obrazloženje općeg i posebenog dijela</w:t>
      </w:r>
    </w:p>
    <w:p>
      <w:pPr>
        <w:pStyle w:val="Odlomakpopisa"/>
        <w:ind w:left="1068" w:right="-23"/>
        <w:jc w:val="both"/>
        <w:rPr>
          <w:noProof/>
          <w:sz w:val="28"/>
          <w:szCs w:val="28"/>
        </w:rPr>
      </w:pPr>
    </w:p>
    <w:p>
      <w:pPr>
        <w:pStyle w:val="Odlomakpopisa"/>
        <w:numPr>
          <w:ilvl w:val="0"/>
          <w:numId w:val="5"/>
        </w:numPr>
        <w:ind w:right="-23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Posebne izvještaje</w:t>
      </w:r>
    </w:p>
    <w:p>
      <w:pPr>
        <w:pStyle w:val="Odlomakpopisa"/>
        <w:ind w:left="1068" w:right="-2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Izvještaj o zaduživanju na domaćem i stranom tržištu novca i kapitala</w:t>
      </w:r>
    </w:p>
    <w:p>
      <w:pPr>
        <w:pStyle w:val="Odlomakpopisa"/>
        <w:ind w:left="1068" w:right="-2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Izvještaj o korištenju sredstava fondova Europske unije</w:t>
      </w:r>
    </w:p>
    <w:p>
      <w:pPr>
        <w:pStyle w:val="Odlomakpopisa"/>
        <w:ind w:left="1068" w:right="-2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Izvještaj o danim zajmovima i potraživanjima po danim zajmovima</w:t>
      </w:r>
    </w:p>
    <w:p>
      <w:pPr>
        <w:pStyle w:val="Odlomakpopisa"/>
        <w:ind w:left="1068" w:right="-2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Izvještaj o stanju potraživanja i dospjelih obveza te o stanju potencijalnih obveza po osnovi sudskih sporova</w:t>
      </w:r>
    </w:p>
    <w:p>
      <w:pPr>
        <w:pStyle w:val="Odlomakpopisa"/>
        <w:ind w:left="1068" w:right="-2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Izvještaj o danim jamstvima i plaćanjima po protestiranim jamstvima (opcionalno).</w:t>
      </w:r>
    </w:p>
    <w:p>
      <w:pPr>
        <w:pStyle w:val="Odlomakpopisa"/>
        <w:ind w:left="1068" w:right="-23"/>
        <w:jc w:val="both"/>
        <w:rPr>
          <w:noProof/>
          <w:sz w:val="28"/>
          <w:szCs w:val="28"/>
        </w:rPr>
      </w:pPr>
    </w:p>
    <w:p>
      <w:pPr>
        <w:ind w:right="-23"/>
        <w:jc w:val="both"/>
        <w:rPr>
          <w:noProof/>
          <w:sz w:val="28"/>
          <w:szCs w:val="28"/>
        </w:rPr>
      </w:pPr>
    </w:p>
    <w:p>
      <w:pPr>
        <w:ind w:right="-23" w:firstLine="708"/>
        <w:jc w:val="both"/>
        <w:rPr>
          <w:noProof/>
          <w:sz w:val="28"/>
          <w:szCs w:val="28"/>
        </w:rPr>
      </w:pPr>
    </w:p>
    <w:p>
      <w:pPr>
        <w:pStyle w:val="Odlomakpopisa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OBRAZLOŽENJE OPĆEG DIJELA IZVJEŠTAJA O IZVRŠENJU FINANCIJSKOG PLANA</w:t>
      </w:r>
    </w:p>
    <w:p>
      <w:pPr>
        <w:ind w:left="360"/>
        <w:jc w:val="center"/>
        <w:rPr>
          <w:b/>
          <w:bCs/>
          <w:sz w:val="28"/>
          <w:szCs w:val="28"/>
        </w:rPr>
      </w:pPr>
    </w:p>
    <w:p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Prihodi i primitci</w:t>
      </w:r>
    </w:p>
    <w:p>
      <w:pPr>
        <w:jc w:val="both"/>
        <w:rPr>
          <w:b/>
          <w:sz w:val="28"/>
          <w:szCs w:val="28"/>
        </w:rPr>
      </w:pPr>
    </w:p>
    <w:p>
      <w:pPr>
        <w:pStyle w:val="box463272"/>
        <w:spacing w:before="0" w:beforeAutospacing="0" w:after="0"/>
        <w:ind w:firstLine="510"/>
        <w:jc w:val="both"/>
        <w:rPr>
          <w:noProof/>
          <w:sz w:val="28"/>
          <w:szCs w:val="28"/>
        </w:rPr>
      </w:pPr>
      <w:bookmarkStart w:id="0" w:name="_Hlk140598541"/>
      <w:r>
        <w:rPr>
          <w:noProof/>
          <w:sz w:val="28"/>
          <w:szCs w:val="28"/>
        </w:rPr>
        <w:t>U razdoblju od 01.01.2026. do 30.06.2026. godine ostvareno je prihoda poslovanja u iznosu od 1.325.342,36eura što 103,04% planiranih prihoda za 2026. godinu.</w:t>
      </w:r>
    </w:p>
    <w:bookmarkEnd w:id="0"/>
    <w:p>
      <w:pPr>
        <w:ind w:firstLine="709"/>
        <w:jc w:val="both"/>
        <w:rPr>
          <w:noProof/>
          <w:color w:val="FF0000"/>
          <w:sz w:val="28"/>
          <w:szCs w:val="28"/>
        </w:rPr>
      </w:pPr>
    </w:p>
    <w:p>
      <w:pPr>
        <w:ind w:firstLine="567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Prihodi poslovanja</w:t>
      </w:r>
    </w:p>
    <w:p>
      <w:pPr>
        <w:ind w:firstLine="567"/>
        <w:jc w:val="both"/>
        <w:rPr>
          <w:noProof/>
          <w:sz w:val="28"/>
          <w:szCs w:val="28"/>
        </w:rPr>
      </w:pPr>
    </w:p>
    <w:p>
      <w:pPr>
        <w:ind w:firstLine="510"/>
        <w:jc w:val="both"/>
        <w:rPr>
          <w:noProof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t xml:space="preserve">Pomoći iz inozemstva i od subjekata unutar općeg proračuna </w:t>
      </w:r>
      <w:r>
        <w:rPr>
          <w:noProof/>
          <w:sz w:val="28"/>
          <w:szCs w:val="28"/>
        </w:rPr>
        <w:t>iznose 1.065.075,71 eura što je 104,64% planiranih sredstava za 2026. godinu.</w:t>
      </w:r>
    </w:p>
    <w:p>
      <w:pPr>
        <w:ind w:firstLine="510"/>
        <w:jc w:val="both"/>
        <w:rPr>
          <w:noProof/>
          <w:sz w:val="28"/>
          <w:szCs w:val="28"/>
        </w:rPr>
      </w:pPr>
    </w:p>
    <w:p>
      <w:pPr>
        <w:ind w:firstLine="51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Ostvareni prihodi odnose se na prihode za plaće i prijevoz djelatnika, jubilarne nagrade, pomoći za bolovanje duže od 90 dana i pomoći u slučaju smrti člana obitelji zaposlenika, regres, božićnice,uskrsnice, otpremnine i dr., nabavu udžbenika i radnih bilježnica za učenike škole kao i besplatnu prehranu (školska kuhinja) financirano od strane Ministarstva znanosti, obrazovanja i mladih, te prihod za nabavu menstrulnih potrepština kojeg također financira Ministarstvo znanosti obrazovanja i mladih.</w:t>
      </w:r>
    </w:p>
    <w:p>
      <w:pPr>
        <w:spacing w:after="120"/>
        <w:ind w:firstLine="510"/>
        <w:jc w:val="both"/>
        <w:rPr>
          <w:b/>
          <w:bCs/>
          <w:i/>
          <w:iCs/>
          <w:noProof/>
          <w:sz w:val="28"/>
          <w:szCs w:val="28"/>
        </w:rPr>
      </w:pPr>
    </w:p>
    <w:p>
      <w:pPr>
        <w:spacing w:after="120"/>
        <w:ind w:firstLine="510"/>
        <w:jc w:val="both"/>
        <w:rPr>
          <w:noProof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t>Prihodi od upravnih i administrativnih pristojbi, po posebnim propisima i naknada</w:t>
      </w:r>
      <w:r>
        <w:rPr>
          <w:noProof/>
          <w:sz w:val="28"/>
          <w:szCs w:val="28"/>
        </w:rPr>
        <w:t xml:space="preserve"> iznose 63.102,87 eura što je 114,13% planiranih sredstava za 2026. godinu.</w:t>
      </w:r>
    </w:p>
    <w:p>
      <w:pPr>
        <w:spacing w:after="120"/>
        <w:ind w:firstLine="51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Ostvareni prihodi odnose se na sredstva za prihode ostvarene za financiranje plaća učiteljicama u produženom boravku od strane roditelja, financiranje usluga toplog obroka u produženom boravku, sportska natjecanja, polaganje stručnih ispita iz matematike te prihoda s naslova osiguranja i refundacije štete.</w:t>
      </w:r>
    </w:p>
    <w:p>
      <w:pPr>
        <w:tabs>
          <w:tab w:val="left" w:pos="400"/>
        </w:tabs>
        <w:ind w:firstLine="567"/>
        <w:jc w:val="both"/>
        <w:rPr>
          <w:b/>
          <w:bCs/>
          <w:i/>
          <w:iCs/>
          <w:noProof/>
          <w:sz w:val="28"/>
          <w:szCs w:val="28"/>
        </w:rPr>
      </w:pPr>
    </w:p>
    <w:p>
      <w:pPr>
        <w:tabs>
          <w:tab w:val="left" w:pos="400"/>
        </w:tabs>
        <w:ind w:firstLine="567"/>
        <w:jc w:val="both"/>
        <w:rPr>
          <w:noProof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t xml:space="preserve">Prihodi od prodaje proizvoda i roba te pruženih usluga i prihoda od donacija  </w:t>
      </w:r>
      <w:r>
        <w:rPr>
          <w:noProof/>
          <w:sz w:val="28"/>
          <w:szCs w:val="28"/>
        </w:rPr>
        <w:t xml:space="preserve">iznose 7.130,92 eura što je 57,75% planiranih sredstava za 2026. godinu. </w:t>
      </w:r>
    </w:p>
    <w:p>
      <w:pPr>
        <w:tabs>
          <w:tab w:val="left" w:pos="400"/>
        </w:tabs>
        <w:ind w:firstLine="567"/>
        <w:jc w:val="both"/>
        <w:rPr>
          <w:noProof/>
          <w:sz w:val="28"/>
          <w:szCs w:val="28"/>
        </w:rPr>
      </w:pPr>
    </w:p>
    <w:p>
      <w:pPr>
        <w:tabs>
          <w:tab w:val="left" w:pos="400"/>
        </w:tabs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Ostvareni prihodi odnose se na prihode od iznajmljivanja dvorane i prostora škole fizičkim i pravnim osobama sukladno izdanim ugovorima, prodaje starog papira, prikupljane starih baterija i ostvarenih donacija za učeničke ekskurzije.</w:t>
      </w:r>
    </w:p>
    <w:p>
      <w:pPr>
        <w:tabs>
          <w:tab w:val="left" w:pos="400"/>
        </w:tabs>
        <w:ind w:firstLine="567"/>
        <w:jc w:val="both"/>
        <w:rPr>
          <w:noProof/>
          <w:sz w:val="28"/>
          <w:szCs w:val="28"/>
        </w:rPr>
      </w:pPr>
    </w:p>
    <w:p>
      <w:pPr>
        <w:tabs>
          <w:tab w:val="left" w:pos="400"/>
        </w:tabs>
        <w:ind w:firstLine="567"/>
        <w:jc w:val="both"/>
        <w:rPr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Prihodi iz nadležnog proračuna i od HZZO-a temeljem ugovornih obveza </w:t>
      </w:r>
      <w:r>
        <w:rPr>
          <w:noProof/>
          <w:sz w:val="28"/>
          <w:szCs w:val="28"/>
        </w:rPr>
        <w:t>iznose 190.032,86eura što je 94,63% planiranih sredstava za 2026. godinu.</w:t>
      </w:r>
    </w:p>
    <w:p>
      <w:pPr>
        <w:tabs>
          <w:tab w:val="left" w:pos="400"/>
        </w:tabs>
        <w:ind w:firstLine="567"/>
        <w:jc w:val="both"/>
        <w:rPr>
          <w:noProof/>
          <w:sz w:val="28"/>
          <w:szCs w:val="28"/>
        </w:rPr>
      </w:pPr>
    </w:p>
    <w:p>
      <w:pPr>
        <w:tabs>
          <w:tab w:val="left" w:pos="400"/>
        </w:tabs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Ostvareni su prihodi od Grada Osijeka za financiranje rashoda temeljem kriterija, temeljem stvarnih troškova,  Školske sheme (nabava mlijeka i mliječnih proizvoda te voća i voćnih proizvoda),  financiranje plaća učiteljica u produženom boravku te pomoćnika u nastavi u sklopu projekta Osigurajmo im jednakost 8, financiranje prijevoza, regresa, uskrsnice te prihodi za financiranje uređenja i opremanja škole.</w:t>
      </w:r>
    </w:p>
    <w:p>
      <w:pPr>
        <w:tabs>
          <w:tab w:val="left" w:pos="400"/>
        </w:tabs>
        <w:jc w:val="both"/>
        <w:rPr>
          <w:noProof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Rashodi i izdatci</w:t>
      </w:r>
    </w:p>
    <w:p>
      <w:pPr>
        <w:jc w:val="both"/>
        <w:rPr>
          <w:b/>
          <w:sz w:val="28"/>
          <w:szCs w:val="28"/>
        </w:rPr>
      </w:pPr>
    </w:p>
    <w:p>
      <w:pPr>
        <w:pStyle w:val="box463272"/>
        <w:spacing w:before="0" w:beforeAutospacing="0" w:after="0"/>
        <w:ind w:firstLine="51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U razdoblju od 01.01.2026. do 30.06.2026. godine ostvareno je rashoda poslovanja u iznosu od 1.302.825,62 eura što čini 92,51 % planiranih rashoda za 2026. godinu.</w:t>
      </w:r>
    </w:p>
    <w:p>
      <w:pPr>
        <w:pStyle w:val="box463272"/>
        <w:spacing w:before="0" w:beforeAutospacing="0" w:after="0"/>
        <w:ind w:firstLine="510"/>
        <w:jc w:val="both"/>
        <w:rPr>
          <w:noProof/>
          <w:sz w:val="28"/>
          <w:szCs w:val="28"/>
        </w:rPr>
      </w:pPr>
    </w:p>
    <w:p>
      <w:pPr>
        <w:ind w:right="-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Rashodi poslovanja</w:t>
      </w:r>
    </w:p>
    <w:p>
      <w:pPr>
        <w:ind w:right="-45"/>
        <w:jc w:val="both"/>
        <w:rPr>
          <w:color w:val="FF0000"/>
          <w:sz w:val="28"/>
          <w:szCs w:val="28"/>
        </w:rPr>
      </w:pPr>
    </w:p>
    <w:p>
      <w:pPr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Rashodi za zaposlene</w:t>
      </w:r>
      <w:r>
        <w:rPr>
          <w:sz w:val="28"/>
          <w:szCs w:val="28"/>
        </w:rPr>
        <w:t xml:space="preserve"> ostvareni su u iznosu od 1.120.058,08 eura što je 92,28% planiranih rashoda za 2026. godinu. </w:t>
      </w:r>
    </w:p>
    <w:p>
      <w:pPr>
        <w:jc w:val="both"/>
        <w:rPr>
          <w:sz w:val="28"/>
          <w:szCs w:val="28"/>
        </w:rPr>
      </w:pPr>
    </w:p>
    <w:p>
      <w:pPr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Rashodi se odnose na financiranje plaća i ostalih rashoda za zaposlene u Osnovnoj školi Retfala neovisno o izvorima iz kojih se isti financiraju.</w:t>
      </w:r>
    </w:p>
    <w:p>
      <w:pPr>
        <w:ind w:firstLine="567"/>
        <w:jc w:val="both"/>
        <w:rPr>
          <w:noProof/>
          <w:sz w:val="28"/>
          <w:szCs w:val="28"/>
        </w:rPr>
      </w:pPr>
    </w:p>
    <w:p>
      <w:pPr>
        <w:ind w:right="119" w:firstLine="51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Materijalni rashodi</w:t>
      </w:r>
      <w:r>
        <w:rPr>
          <w:sz w:val="28"/>
          <w:szCs w:val="28"/>
        </w:rPr>
        <w:t xml:space="preserve"> ostvareni su u iznosu od 181.623,41 eura što je 93,98 % planiranih rashoda za 2026. godinu. </w:t>
      </w:r>
    </w:p>
    <w:p>
      <w:pPr>
        <w:ind w:right="119" w:firstLine="510"/>
        <w:jc w:val="both"/>
        <w:rPr>
          <w:sz w:val="28"/>
          <w:szCs w:val="28"/>
        </w:rPr>
      </w:pPr>
    </w:p>
    <w:p>
      <w:pPr>
        <w:ind w:right="119"/>
        <w:jc w:val="both"/>
        <w:rPr>
          <w:sz w:val="28"/>
          <w:szCs w:val="28"/>
        </w:rPr>
      </w:pPr>
      <w:r>
        <w:rPr>
          <w:sz w:val="28"/>
          <w:szCs w:val="28"/>
        </w:rPr>
        <w:tab/>
        <w:t>Rashodi se odnose na financiranje naknada troškova zaposlenima, rashoda za materijal i energiju, rashoda za usluge te ostale nespomenute rashode poslovanja.</w:t>
      </w:r>
    </w:p>
    <w:p>
      <w:pPr>
        <w:pStyle w:val="Odlomakpopisa"/>
        <w:ind w:left="870" w:right="119"/>
        <w:jc w:val="both"/>
        <w:rPr>
          <w:sz w:val="28"/>
          <w:szCs w:val="28"/>
        </w:rPr>
      </w:pPr>
    </w:p>
    <w:p>
      <w:pPr>
        <w:ind w:right="261" w:firstLine="50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Rashodi za donacije, kazne, naknade šteta i kapitalne pomoći</w:t>
      </w:r>
      <w:r>
        <w:rPr>
          <w:sz w:val="28"/>
          <w:szCs w:val="28"/>
        </w:rPr>
        <w:t xml:space="preserve"> ostvareni su u iznosu od 1.144,13 eura. Sredstva su dobivena od Ministarstva rada, mirovinskog sustava, obitelji i socijalne politike s ciljem opskrbe školskih ustanova besplatnim zalihama menstrualnih higijenskih potrepština. 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bookmarkStart w:id="1" w:name="_GoBack"/>
      <w:bookmarkEnd w:id="1"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Rashodi za nabavu nefinancijske imovine</w:t>
      </w:r>
    </w:p>
    <w:p>
      <w:pPr>
        <w:jc w:val="center"/>
        <w:rPr>
          <w:b/>
          <w:sz w:val="28"/>
          <w:szCs w:val="28"/>
        </w:rPr>
      </w:pPr>
    </w:p>
    <w:p>
      <w:pPr>
        <w:ind w:firstLine="500"/>
        <w:jc w:val="both"/>
        <w:rPr>
          <w:b/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  <w:r>
        <w:rPr>
          <w:b/>
          <w:sz w:val="28"/>
          <w:szCs w:val="28"/>
        </w:rPr>
        <w:t>Rashodi za nabavu nefinancijske imovine</w:t>
      </w:r>
      <w:r>
        <w:rPr>
          <w:sz w:val="28"/>
          <w:szCs w:val="28"/>
        </w:rPr>
        <w:t xml:space="preserve"> ostvareni su u iznosu 1.932,01 eura ili 16,75% planiranih sredstava u 2026. godini. </w:t>
      </w:r>
    </w:p>
    <w:p>
      <w:pPr>
        <w:ind w:firstLine="499"/>
        <w:jc w:val="both"/>
        <w:rPr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</w:p>
    <w:p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REZULTAT POSLOVANJA </w:t>
      </w:r>
    </w:p>
    <w:p>
      <w:pPr>
        <w:ind w:firstLine="499"/>
        <w:jc w:val="both"/>
        <w:rPr>
          <w:sz w:val="28"/>
          <w:szCs w:val="28"/>
        </w:rPr>
      </w:pPr>
    </w:p>
    <w:p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Ukupan rezultat poslovanja u razdoblju od 01.01.-30.06.2026. je manjak od 193.806,14eura što se odnosi na:</w:t>
      </w:r>
    </w:p>
    <w:p>
      <w:pPr>
        <w:pStyle w:val="Odlomakpopisa"/>
        <w:numPr>
          <w:ilvl w:val="0"/>
          <w:numId w:val="10"/>
        </w:numPr>
        <w:spacing w:after="1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troškove mliječne kuhinje za mjesec lipanj čiji se prihod očekuje u srpnju 2026. godine </w:t>
      </w:r>
    </w:p>
    <w:p>
      <w:pPr>
        <w:pStyle w:val="Odlomakpopisa"/>
        <w:numPr>
          <w:ilvl w:val="0"/>
          <w:numId w:val="10"/>
        </w:numPr>
        <w:spacing w:after="1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plaća Pomoćnika u nastavi za mjesec </w:t>
      </w:r>
      <w:bookmarkStart w:id="2" w:name="_Hlk203393511"/>
      <w:r>
        <w:rPr>
          <w:sz w:val="28"/>
          <w:szCs w:val="28"/>
        </w:rPr>
        <w:t>lipanj 2026. koja je isplaćena u s</w:t>
      </w:r>
      <w:bookmarkEnd w:id="2"/>
      <w:r>
        <w:rPr>
          <w:sz w:val="28"/>
          <w:szCs w:val="28"/>
        </w:rPr>
        <w:t>rpnju 2026. godine</w:t>
      </w:r>
    </w:p>
    <w:p>
      <w:pPr>
        <w:pStyle w:val="Odlomakpopisa"/>
        <w:numPr>
          <w:ilvl w:val="0"/>
          <w:numId w:val="10"/>
        </w:numPr>
        <w:spacing w:after="1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plaća Produženog boravka za mjesec lipanj 2026. koja je isplaćena u srpnju 2026. godine</w:t>
      </w:r>
    </w:p>
    <w:p>
      <w:pPr>
        <w:pStyle w:val="Odlomakpopisa"/>
        <w:numPr>
          <w:ilvl w:val="0"/>
          <w:numId w:val="10"/>
        </w:numPr>
        <w:spacing w:after="1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plaća ostalih zaposlenika koje financira Ministarstvo znanosti, obrazovanja i mladih za mjesec lipanj 2026. koja je isplaćena u srpnju 2026.godine</w:t>
      </w:r>
    </w:p>
    <w:p>
      <w:pPr>
        <w:pStyle w:val="Odlomakpopisa"/>
        <w:numPr>
          <w:ilvl w:val="0"/>
          <w:numId w:val="10"/>
        </w:numPr>
        <w:spacing w:after="1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račune koji se odnose se na tekuće materijalne i režijske troškove za mjesec lipanj 2026. čiji se prihod očekuje u srpnju 2026.godine</w:t>
      </w:r>
    </w:p>
    <w:p>
      <w:pPr>
        <w:pStyle w:val="Odlomakpopisa"/>
        <w:numPr>
          <w:ilvl w:val="0"/>
          <w:numId w:val="10"/>
        </w:numPr>
        <w:spacing w:after="1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račun za prehranu u produženom boravku čiji se prihod očekuje u srpnju 2026.godine</w:t>
      </w:r>
    </w:p>
    <w:p>
      <w:pPr>
        <w:pStyle w:val="Odlomakpopisa"/>
        <w:spacing w:after="160" w:line="276" w:lineRule="auto"/>
        <w:jc w:val="both"/>
        <w:rPr>
          <w:sz w:val="28"/>
          <w:szCs w:val="28"/>
        </w:rPr>
      </w:pPr>
    </w:p>
    <w:p>
      <w:pPr>
        <w:pStyle w:val="Odlomakpopisa"/>
        <w:spacing w:after="160" w:line="276" w:lineRule="auto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ind w:firstLine="499"/>
        <w:jc w:val="both"/>
        <w:rPr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  <w:t xml:space="preserve">               Ravnatelj</w:t>
      </w:r>
    </w:p>
    <w:p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</w:p>
    <w:p>
      <w:pPr>
        <w:overflowPunct w:val="0"/>
        <w:autoSpaceDE w:val="0"/>
        <w:autoSpaceDN w:val="0"/>
        <w:adjustRightInd w:val="0"/>
        <w:spacing w:line="240" w:lineRule="atLeast"/>
        <w:jc w:val="right"/>
        <w:textAlignment w:val="baseline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  <w:t xml:space="preserve">         ________________</w:t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</w:p>
    <w:p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ab/>
        <w:t>Igor Kopić, prof.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E0F94"/>
    <w:multiLevelType w:val="hybridMultilevel"/>
    <w:tmpl w:val="B8EE22D2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D927274"/>
    <w:multiLevelType w:val="hybridMultilevel"/>
    <w:tmpl w:val="33B8A846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34822B56"/>
    <w:multiLevelType w:val="hybridMultilevel"/>
    <w:tmpl w:val="8D301440"/>
    <w:lvl w:ilvl="0" w:tplc="08DAE45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A1011"/>
    <w:multiLevelType w:val="hybridMultilevel"/>
    <w:tmpl w:val="503C6C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404B5"/>
    <w:multiLevelType w:val="hybridMultilevel"/>
    <w:tmpl w:val="0AEEAFEA"/>
    <w:lvl w:ilvl="0" w:tplc="B99E9A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21C52"/>
    <w:multiLevelType w:val="hybridMultilevel"/>
    <w:tmpl w:val="66B0DC1A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2C0E"/>
    <w:multiLevelType w:val="hybridMultilevel"/>
    <w:tmpl w:val="86A4E3E0"/>
    <w:lvl w:ilvl="0" w:tplc="9E42D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AA1A31"/>
    <w:multiLevelType w:val="hybridMultilevel"/>
    <w:tmpl w:val="B0426D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1114A"/>
    <w:multiLevelType w:val="hybridMultilevel"/>
    <w:tmpl w:val="CC568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B77D8"/>
    <w:multiLevelType w:val="hybridMultilevel"/>
    <w:tmpl w:val="E76A6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B4996"/>
    <w:multiLevelType w:val="hybridMultilevel"/>
    <w:tmpl w:val="8E48D4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B7A38"/>
    <w:multiLevelType w:val="hybridMultilevel"/>
    <w:tmpl w:val="FFE2088A"/>
    <w:lvl w:ilvl="0" w:tplc="DEFC1124">
      <w:start w:val="1"/>
      <w:numFmt w:val="decimal"/>
      <w:lvlText w:val="(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1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09131-B453-4810-AEA3-56098B2F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box463272">
    <w:name w:val="box_463272"/>
    <w:basedOn w:val="Normal"/>
    <w:pPr>
      <w:spacing w:before="100" w:beforeAutospacing="1" w:after="225"/>
    </w:pPr>
  </w:style>
  <w:style w:type="table" w:styleId="Reetkatablice">
    <w:name w:val="Table Grid"/>
    <w:basedOn w:val="Obinatabli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9c008c5746d8bd0b7ddefaf68223239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00a94787328d935700254a82aa3fe154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2A3A8-6E0E-4B3F-AC62-6BEEC04A8B2F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8f68a5de-f7da-44ea-a0a6-768bc904f3ae"/>
    <ds:schemaRef ds:uri="http://schemas.microsoft.com/office/infopath/2007/PartnerControls"/>
    <ds:schemaRef ds:uri="6d61b630-1d91-40ab-8e9b-8e9455b049f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C0AE685-9B8A-4038-828E-E91169E6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08A1D-792B-42E5-B0ED-17CCC4A0B7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27D8DD-0AFD-4A93-A17A-54C54F19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Klobučar</dc:creator>
  <cp:keywords/>
  <dc:description/>
  <cp:lastModifiedBy>Anela Bordi</cp:lastModifiedBy>
  <cp:revision>11</cp:revision>
  <cp:lastPrinted>2025-07-16T06:49:00Z</cp:lastPrinted>
  <dcterms:created xsi:type="dcterms:W3CDTF">2025-07-16T06:49:00Z</dcterms:created>
  <dcterms:modified xsi:type="dcterms:W3CDTF">2026-07-10T09:25:00Z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ea1c34d3-9db9-4a82-ab4a-a69786f0d97c</vt:lpwstr>
  </property>
  <property fmtid="{D5CDD505-2E9C-101B-9397-08002B2CF9AE}" pid="3" name="ContentTypeId">
    <vt:lpwstr>0x01010056BB4E64C075144A97774078E840ADA8</vt:lpwstr>
  </property>
  <property fmtid="{D5CDD505-2E9C-101B-9397-08002B2CF9AE}" pid="4" name="MediaServiceImageTags">
    <vt:lpwstr/>
  </property>
</Properties>
</file>