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Naziv obveznika: </w:t>
      </w:r>
      <w:r>
        <w:rPr>
          <w:b/>
          <w:color w:val="000000"/>
          <w:sz w:val="20"/>
          <w:szCs w:val="20"/>
        </w:rPr>
        <w:t xml:space="preserve">OŠ „RETFALA“                                                                                              </w:t>
      </w:r>
      <w:r>
        <w:rPr>
          <w:color w:val="000000"/>
          <w:sz w:val="20"/>
          <w:szCs w:val="20"/>
        </w:rPr>
        <w:t>Razina: 31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Poštanski broj: 31000                                                                                                                      Razdjel: 0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Mjesto: OSIJEK                                                                                                                              RKP: 9562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Adresa sjedišta: KAPELSKA 51A                                                                                                 Šifra županije: 14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IBAN:HR5023600001831200002                                                                                                  Šifra općine: 312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Matični broj: 3013901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Šifra djelatnosti: 8520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BILJEŠKE UZ FINANCIJSKO IZVJEŠĆE ZA RAZDOBLJE OD 01.01.2024  DO 31.12.2024. godine</w:t>
      </w:r>
      <w:r>
        <w:rPr>
          <w:rStyle w:val="eop"/>
          <w:sz w:val="28"/>
          <w:szCs w:val="28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p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Izrada financijskih izvještaja propisana je Pravilnikom o financijskom izvještavanju u proračunskom računovodstvu (Narodne novine, broj 3/15., 93/15., 135/15., 2/17.,38/17., i 112/18.,126/2019., 145/20.,32/21.,37/22) te prema čl. 13. Pravilnika sastavni dio financijskih izvještaja proračuna i proračunskih korisnika su Bilješke uz financijske izvještaje. 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Škola „</w:t>
      </w:r>
      <w:proofErr w:type="spellStart"/>
      <w:r>
        <w:rPr>
          <w:rStyle w:val="normaltextrun"/>
        </w:rPr>
        <w:t>Retfala</w:t>
      </w:r>
      <w:proofErr w:type="spellEnd"/>
      <w:r>
        <w:rPr>
          <w:rStyle w:val="normaltextrun"/>
        </w:rPr>
        <w:t>“ je osnovnoškolska javna ustanova. Osnivač Škole je Grad Osijek. Djelatnost Škole je odgoj i obvezno osnovno školovanje djece i mladeži.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Za obavljanje djelatnosti Škola osigurava sredstva iz državnog proračuna, proračuna grada/županije, od roditelja učenika te donacija.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Bilješke uz PR-RAS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Ukupni prihodi poslovanja na kontu 6  iznose 2.281.020,93 € te se odnose na: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Tekuće pomoći proračunskim korisnicima iz proračuna koji im nije nadležan koje se odnose na plaće zaposlenih, materijalna prava, stručne ispite, kuhinju, udžbenike, </w:t>
      </w:r>
      <w:proofErr w:type="spellStart"/>
      <w:r>
        <w:rPr>
          <w:rStyle w:val="normaltextrun"/>
          <w:color w:val="000000"/>
        </w:rPr>
        <w:t>lektirne</w:t>
      </w:r>
      <w:proofErr w:type="spellEnd"/>
      <w:r>
        <w:rPr>
          <w:rStyle w:val="normaltextrun"/>
          <w:color w:val="000000"/>
        </w:rPr>
        <w:t xml:space="preserve"> naslove te iznose 1.842.842,44 € što je za 378.481,38 € više u odnosu na prošlu godinu 2023. godinu nastalo kao posljedica porasta plaća, cijene namirnica, goriva, materijala i usluga.</w:t>
      </w:r>
      <w:r>
        <w:rPr>
          <w:rStyle w:val="eop"/>
          <w:color w:val="000000"/>
        </w:rPr>
        <w:t> </w:t>
      </w:r>
    </w:p>
    <w:p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t>Tekući prijenosi između proračunskih korisnika istog proračuna iznose 30,00 € što je za navedeni iznos više u odnosu na 2023. godinu zbog sportskih natjecanja.</w:t>
      </w:r>
    </w:p>
    <w:p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</w:rPr>
        <w:t xml:space="preserve">Ostali nespomenuti prihodi  koji se odnose na sufinanciranje cijene usluge produženog boravka, prihodi od stručnih ispita i slično a  koji iznose </w:t>
      </w:r>
      <w:r>
        <w:rPr>
          <w:rStyle w:val="normaltextrun"/>
          <w:color w:val="000000"/>
        </w:rPr>
        <w:t xml:space="preserve">104.601,70 </w:t>
      </w:r>
      <w:r>
        <w:rPr>
          <w:rStyle w:val="normaltextrun"/>
        </w:rPr>
        <w:t>€ što je za 16.262,13 € više u odnosu na 2023. godinu nastalo kao posljedica većeg broja učenika koji polaze produženi boravak.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</w:rPr>
      </w:pPr>
      <w:r>
        <w:rPr>
          <w:rStyle w:val="normaltextrun"/>
          <w:color w:val="000000"/>
        </w:rPr>
        <w:t>Prihodi od prodaje proizvoda i robe  te pruženih usluga u ukupnom iznosu od 3.815,10 što je 2870,80 € manje u odnosu na 2023. godinu zbog objedinjene uplate za korištenje dvorane na datum 02.01.2023. godine</w:t>
      </w:r>
    </w:p>
    <w:p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t>Tekuće donacije u iznosu od 6.600,00 € što je za 4.334,10 € više u odnosu na 2023. godinu zbog potrebe za računalima i računalom opremom te zamjenom uredskog namještaja.</w:t>
      </w:r>
    </w:p>
    <w:p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 xml:space="preserve">Prihodi iz nadležnog proračuna za financiranje rashoda poslovanja koji se odnose na prihode Grada Osijeka – osnivača (plaće, materijalna prava, materijal i energija i sl.) a </w:t>
      </w:r>
      <w:r>
        <w:rPr>
          <w:rStyle w:val="normaltextrun"/>
          <w:color w:val="000000"/>
        </w:rPr>
        <w:lastRenderedPageBreak/>
        <w:t>iznose 310.207,31 € što je za 104.092,91 € više u odnosu na 2023. godinu nastalo kao posljedica povećanja plaća, materijala i sirovina, usluga, energije te za nabavku nefinancijske imovine i sl..</w:t>
      </w:r>
      <w:r>
        <w:rPr>
          <w:rStyle w:val="eop"/>
          <w:color w:val="000000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Ukupni rashodi poslovanja na kontu 3 i 4 iznose 2.258.225,30 € a sastoje se od :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Rashoda poslovanja odnosno rashoda za plaće, materijalna prava, doprinose i iznose: 1.878.463,39 € što je za 394.642,27 € više nego 2023. godine nastali kao posljedica porasta cijena istog.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Materijalni rashodi koji se odnose na dnevnice, uredski materijal, literaturu, namirnice, materijal i sirovine, energiju, usluge telefona, pošte i sl., a iznose: 326.261.31 €  što je za 21.386,06 € više nego 2023. godine nastali kao posljedica porasta cijena istog.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Rashodi za nabavku proizvedene dugotrajne imovine odnosno za nabavku knjiga, sportske opreme, uredskog namještaja i sl., a iznose 52.370,03 € što je za 14.860,47 € više nego u 2023. godini, nastalo kao posljedica porasta cijene navedenog i nužnosti zamjene dotrajale opreme.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Manjak prihoda poslovanja tekućeg razdoblja iznosi: 46.607,82 € što se odnosi na: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troškove besplatne mliječne kuhinje za mjesec prosinac čiji se prihod očekuje u siječnju 2025. godine 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troškove knjiga za koje se prihodi očekuju u siječnju 2025.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plaća Pomoćnika u nastavi za mjesec prosinac 2024. godine.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plaća Produženog boravka za mjesec prosinac 2024. godine.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račune koji su terećeni iz 2024. godine a odnose se na tekuće materijalne i režijske troškove za mjesec prosinac 2024. godine.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račun za prehranu u produženom boravku čiji se prihod očekuje u siječnju 2025 godine.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.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Bilješke uz Obveze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eop"/>
        </w:rPr>
        <w:t> </w:t>
      </w:r>
      <w:r>
        <w:rPr>
          <w:color w:val="000000"/>
        </w:rPr>
        <w:t xml:space="preserve">Ukupno stanje obveza na dan 31.12. 2024. godine iznosi 221.642,60 eura. Sa Gradom se razlikujemo na kontu 323420 u iznosu od 328,78 eura gdje je Grad veći za 328,78 eura iz razloga jer je isti račun poslan na Zahtjev i ove i prošle godine te na kontu 323440 gdje je Grad veći za 242,68 eura iz istog razloga. Na kontu 322410 se razlikujemo za dva računa ukupnog iznosa od 4 502,57 eura jer su navedena dva računa kod nas knjižena u trošak u 2023.-oj godini dok su u Gradu knjižena u trošak u 2024.-oj godini. Razlikujemo se i na kontu 3232 u 2024.-oj godini u iznosu od 603,06 jer je navedeno </w:t>
      </w:r>
      <w:proofErr w:type="spellStart"/>
      <w:r>
        <w:rPr>
          <w:color w:val="000000"/>
        </w:rPr>
        <w:t>preknjiženje</w:t>
      </w:r>
      <w:proofErr w:type="spellEnd"/>
      <w:r>
        <w:rPr>
          <w:color w:val="000000"/>
        </w:rPr>
        <w:t xml:space="preserve"> proknjiženo u 2023.-oj godini nakon što je izvještaj predan i nakon što su izvršena završna knjiženja i saldiranja. Iz tog razloga nam je konto i došao u početno stanje u 2024.-oj godini. Navedeni iznos nije stavljen u trošak 2023. godine nego u trošak 2024. godine i iz tog razloga se razlikujemo na kontu 3232 u 2024.-oj godini i ujedno nam je i to </w:t>
      </w:r>
      <w:proofErr w:type="spellStart"/>
      <w:r>
        <w:rPr>
          <w:color w:val="000000"/>
        </w:rPr>
        <w:t>preknjiženje</w:t>
      </w:r>
      <w:proofErr w:type="spellEnd"/>
      <w:r>
        <w:rPr>
          <w:color w:val="000000"/>
        </w:rPr>
        <w:t xml:space="preserve"> napravilo razliku u obvezama koje iznose 19.093,24 € a trebale su iznositi 189.460,40 €. 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Ukupno stanje obveza odnosi se na: 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Obveze za zaposlene u ukupnom iznosu 163.577,70 €, a odnose se na obveze kojima slijedi zatvaranje u 2025.-oj godini kada nastupi plaćanje istih.</w:t>
      </w:r>
    </w:p>
    <w:p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Obveze za materijalne rashode odnosno službena putovanja, naknade za prijevoz, uredski materijal, energiju, namirnice, usluge telefona i pošte u ukupnom iznosu od 25.586,24 € a odnose se na obveze kojima slijedi zatvaranje u 2025.-oj godini kada nastupi plaćanje istih.</w:t>
      </w:r>
    </w:p>
    <w:p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lastRenderedPageBreak/>
        <w:t>Ostale tekuće obveze kao što su obveze za povrat u proračun, obveze za predujmove, obveze za tekuće donacije te ostale nespomenute obveze iznose 31.820,19 € a odnose se na obveze kojima slijedi zatvaranje u 2025.-oj godini kada nastupi plaćanje istih.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hd w:val="clear" w:color="auto" w:fill="FFFF00"/>
        </w:rPr>
      </w:pP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  <w:b/>
          <w:bCs/>
        </w:rPr>
        <w:t>Bilješke uz Obrazac P-VRIO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Škola „</w:t>
      </w:r>
      <w:proofErr w:type="spellStart"/>
      <w:r>
        <w:rPr>
          <w:rStyle w:val="normaltextrun"/>
          <w:rFonts w:ascii="Times New Roman" w:hAnsi="Times New Roman" w:cs="Times New Roman"/>
          <w:sz w:val="24"/>
          <w:szCs w:val="24"/>
        </w:rPr>
        <w:t>Retfala</w:t>
      </w:r>
      <w:proofErr w:type="spell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“ je u 2024. godini </w:t>
      </w:r>
      <w:r>
        <w:rPr>
          <w:rFonts w:ascii="Times New Roman" w:hAnsi="Times New Roman" w:cs="Times New Roman"/>
          <w:sz w:val="24"/>
          <w:szCs w:val="24"/>
        </w:rPr>
        <w:t>nije imala promjena u vrijednosti i obujmu imovine i obveza koje se evidentiraju preko računa 9151.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  <w:r>
        <w:rPr>
          <w:rStyle w:val="normaltextrun"/>
          <w:b/>
          <w:bCs/>
        </w:rPr>
        <w:t>Bilješke uz Obrazac RAS- funkcijski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Dodatne usluge u obrazovanju odnose se na rashode vezane uz prehranu djece u školskoj kuhinji i produženom boravku.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Bilješke uz BILANCU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Bilanca se temelji na ravnoteži:  Imovina = Obveze i Vlastiti izvori. 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Vrijednost nefinancijske imovine je 599.246,52 €. a vrijednost financijske imovine je 195.822,64 €.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U bilanci je umanjen konto 165 koji je iznosio 7.402,01 € za iznos 3.</w:t>
      </w:r>
      <w:bookmarkStart w:id="0" w:name="_GoBack"/>
      <w:bookmarkEnd w:id="0"/>
      <w:r>
        <w:rPr>
          <w:rStyle w:val="normaltextrun"/>
        </w:rPr>
        <w:t>028,70 €</w:t>
      </w:r>
      <w:r>
        <w:rPr>
          <w:rStyle w:val="eop"/>
        </w:rPr>
        <w:t> </w:t>
      </w:r>
      <w:r>
        <w:rPr>
          <w:rStyle w:val="normaltextrun"/>
        </w:rPr>
        <w:t xml:space="preserve"> konta 16615 te sada iznosi 4.373,31 € . Iznos konta 16615 se nalazio na potražnoj strani bilance zbog pogreške u knjiženju u 2023.-oj godini.  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>
      <w:pPr>
        <w:pStyle w:val="paragraph"/>
        <w:numPr>
          <w:ilvl w:val="0"/>
          <w:numId w:val="22"/>
        </w:numPr>
        <w:spacing w:before="0" w:beforeAutospacing="0" w:after="0" w:afterAutospacing="0"/>
        <w:ind w:left="270" w:firstLine="0"/>
        <w:jc w:val="both"/>
        <w:textAlignment w:val="baseline"/>
      </w:pPr>
      <w:r>
        <w:rPr>
          <w:rStyle w:val="normaltextrun"/>
        </w:rPr>
        <w:t>Ostala potraživanja se odnose na međusobna potraživanja proračunskih korisnika, odnosno potraživanja za naknade bolovanja na teret HZZO-a.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23"/>
        </w:numPr>
        <w:spacing w:before="0" w:beforeAutospacing="0" w:after="0" w:afterAutospacing="0"/>
        <w:ind w:left="270" w:firstLine="0"/>
        <w:jc w:val="both"/>
        <w:textAlignment w:val="baseline"/>
      </w:pPr>
      <w:r>
        <w:rPr>
          <w:rStyle w:val="normaltextrun"/>
        </w:rPr>
        <w:t>Potraživanja za prihode poslovanja odnose se na potraživanja za prihode za financiranje školske kuhinje, produženog boravka te za prihode od pruženih usluga.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24"/>
        </w:numPr>
        <w:spacing w:before="0" w:beforeAutospacing="0" w:after="0" w:afterAutospacing="0"/>
        <w:ind w:left="270" w:firstLine="0"/>
        <w:jc w:val="both"/>
        <w:textAlignment w:val="baseline"/>
      </w:pPr>
      <w:r>
        <w:rPr>
          <w:rStyle w:val="normaltextrun"/>
        </w:rPr>
        <w:t>Potraživanja od prodaje nefinancijske imovine odnose se na prodane stanove zaposlenicima. 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25"/>
        </w:numPr>
        <w:spacing w:before="0" w:beforeAutospacing="0" w:after="0" w:afterAutospacing="0"/>
        <w:ind w:left="270" w:firstLine="0"/>
        <w:jc w:val="both"/>
        <w:textAlignment w:val="baseline"/>
      </w:pPr>
      <w:r>
        <w:rPr>
          <w:rStyle w:val="normaltextrun"/>
        </w:rPr>
        <w:t>Kontinuirani rashodi budućih razdoblja su rashodi nastali u obračunskom razdoblju, a za koje se očekuju prihodi u 2025. godini.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26"/>
        </w:numPr>
        <w:spacing w:before="0" w:beforeAutospacing="0" w:after="0" w:afterAutospacing="0"/>
        <w:ind w:left="270" w:firstLine="0"/>
        <w:jc w:val="both"/>
        <w:textAlignment w:val="baseline"/>
      </w:pPr>
      <w:r>
        <w:rPr>
          <w:rStyle w:val="normaltextrun"/>
        </w:rPr>
        <w:t>Saldo obveza za zaposlene odnose se na plaću za prosinac 2024. godine koja je isplaćena 9.1.2025. godine.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27"/>
        </w:numPr>
        <w:spacing w:before="0" w:beforeAutospacing="0" w:after="0" w:afterAutospacing="0"/>
        <w:ind w:left="270" w:firstLine="0"/>
        <w:jc w:val="both"/>
        <w:textAlignment w:val="baseline"/>
      </w:pPr>
      <w:r>
        <w:rPr>
          <w:rStyle w:val="normaltextrun"/>
        </w:rPr>
        <w:t>Saldo obveza prema dobavljačima su obveze nastale tijekom mjeseca prosinca sa dospijećem do kraja mjeseca siječnja 2025. godine. 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       </w:t>
      </w:r>
      <w:r>
        <w:rPr>
          <w:rStyle w:val="normaltextrun"/>
        </w:rPr>
        <w:t>Škola nema: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ind w:lef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a. Ugovorne odnose i slično koji uz ispunjenje određenih uvjeta mogu postati obveza ili imovina (dana kreditna pisma, hipoteke i slično) 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ind w:lef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b. Sudske sporove u tijeku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ind w:lef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  <w:sz w:val="28"/>
          <w:szCs w:val="28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U Osijeku, 31.01.2025. godine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Voditelj/</w:t>
      </w:r>
      <w:proofErr w:type="spellStart"/>
      <w:r>
        <w:t>ica</w:t>
      </w:r>
      <w:proofErr w:type="spellEnd"/>
      <w:r>
        <w:t xml:space="preserve"> računovodstva:                                                                        </w:t>
      </w:r>
      <w:r>
        <w:rPr>
          <w:rStyle w:val="normaltextrun"/>
        </w:rPr>
        <w:t>Ravnatelj: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textAlignment w:val="baseline"/>
      </w:pPr>
      <w:r>
        <w:t xml:space="preserve">     Ivana Birkić Tekavčić                                                                            </w:t>
      </w:r>
      <w:r>
        <w:rPr>
          <w:rStyle w:val="normaltextrun"/>
        </w:rPr>
        <w:t xml:space="preserve">Igor </w:t>
      </w:r>
      <w:proofErr w:type="spellStart"/>
      <w:r>
        <w:rPr>
          <w:rStyle w:val="normaltextrun"/>
        </w:rPr>
        <w:t>Kopić</w:t>
      </w:r>
      <w:proofErr w:type="spellEnd"/>
      <w:r>
        <w:rPr>
          <w:rStyle w:val="normaltextrun"/>
        </w:rPr>
        <w:t xml:space="preserve"> ,prof.</w:t>
      </w:r>
      <w:r>
        <w:rPr>
          <w:rStyle w:val="eop"/>
        </w:rPr>
        <w:t> </w:t>
      </w:r>
    </w:p>
    <w:p>
      <w:pPr>
        <w:pStyle w:val="paragraph"/>
        <w:spacing w:before="0" w:beforeAutospacing="0" w:after="0" w:afterAutospacing="0"/>
        <w:textAlignment w:val="baseline"/>
      </w:pPr>
    </w:p>
    <w:p>
      <w:pPr>
        <w:pStyle w:val="paragraph"/>
        <w:spacing w:before="0" w:beforeAutospacing="0" w:after="0" w:afterAutospacing="0"/>
        <w:ind w:firstLine="56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             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lastRenderedPageBreak/>
        <w:t> 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1D6"/>
    <w:multiLevelType w:val="multilevel"/>
    <w:tmpl w:val="164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74C93"/>
    <w:multiLevelType w:val="multilevel"/>
    <w:tmpl w:val="F5B6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921E6B"/>
    <w:multiLevelType w:val="multilevel"/>
    <w:tmpl w:val="5900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94B42"/>
    <w:multiLevelType w:val="multilevel"/>
    <w:tmpl w:val="E38E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981553"/>
    <w:multiLevelType w:val="multilevel"/>
    <w:tmpl w:val="9DD6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54B1C"/>
    <w:multiLevelType w:val="multilevel"/>
    <w:tmpl w:val="4F8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C4C3C"/>
    <w:multiLevelType w:val="multilevel"/>
    <w:tmpl w:val="B0BA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8024C8"/>
    <w:multiLevelType w:val="multilevel"/>
    <w:tmpl w:val="6F8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1C2040"/>
    <w:multiLevelType w:val="multilevel"/>
    <w:tmpl w:val="D0F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8A784B"/>
    <w:multiLevelType w:val="multilevel"/>
    <w:tmpl w:val="5A9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E3094A"/>
    <w:multiLevelType w:val="hybridMultilevel"/>
    <w:tmpl w:val="F86E2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B4AC3"/>
    <w:multiLevelType w:val="multilevel"/>
    <w:tmpl w:val="BA4C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287922"/>
    <w:multiLevelType w:val="multilevel"/>
    <w:tmpl w:val="A7CE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03076F"/>
    <w:multiLevelType w:val="multilevel"/>
    <w:tmpl w:val="A778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B14C6B"/>
    <w:multiLevelType w:val="multilevel"/>
    <w:tmpl w:val="E48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2F44D1"/>
    <w:multiLevelType w:val="multilevel"/>
    <w:tmpl w:val="7C20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42621C"/>
    <w:multiLevelType w:val="multilevel"/>
    <w:tmpl w:val="539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D909CE"/>
    <w:multiLevelType w:val="multilevel"/>
    <w:tmpl w:val="C74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F03210"/>
    <w:multiLevelType w:val="multilevel"/>
    <w:tmpl w:val="8320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F2736D"/>
    <w:multiLevelType w:val="multilevel"/>
    <w:tmpl w:val="D5AE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99758C"/>
    <w:multiLevelType w:val="multilevel"/>
    <w:tmpl w:val="926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5657E7"/>
    <w:multiLevelType w:val="multilevel"/>
    <w:tmpl w:val="DECA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B258FD"/>
    <w:multiLevelType w:val="multilevel"/>
    <w:tmpl w:val="3CE8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DA0B4F"/>
    <w:multiLevelType w:val="multilevel"/>
    <w:tmpl w:val="1B5A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9D7DE4"/>
    <w:multiLevelType w:val="multilevel"/>
    <w:tmpl w:val="E41E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7277C6"/>
    <w:multiLevelType w:val="multilevel"/>
    <w:tmpl w:val="6840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C50A7C"/>
    <w:multiLevelType w:val="multilevel"/>
    <w:tmpl w:val="E4D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E3658F"/>
    <w:multiLevelType w:val="multilevel"/>
    <w:tmpl w:val="F702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335AB2"/>
    <w:multiLevelType w:val="multilevel"/>
    <w:tmpl w:val="6BCC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A84B38"/>
    <w:multiLevelType w:val="multilevel"/>
    <w:tmpl w:val="CBCE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8"/>
  </w:num>
  <w:num w:numId="5">
    <w:abstractNumId w:val="1"/>
  </w:num>
  <w:num w:numId="6">
    <w:abstractNumId w:val="8"/>
  </w:num>
  <w:num w:numId="7">
    <w:abstractNumId w:val="29"/>
  </w:num>
  <w:num w:numId="8">
    <w:abstractNumId w:val="11"/>
  </w:num>
  <w:num w:numId="9">
    <w:abstractNumId w:val="13"/>
  </w:num>
  <w:num w:numId="10">
    <w:abstractNumId w:val="21"/>
  </w:num>
  <w:num w:numId="11">
    <w:abstractNumId w:val="3"/>
  </w:num>
  <w:num w:numId="12">
    <w:abstractNumId w:val="23"/>
  </w:num>
  <w:num w:numId="13">
    <w:abstractNumId w:val="5"/>
  </w:num>
  <w:num w:numId="14">
    <w:abstractNumId w:val="6"/>
  </w:num>
  <w:num w:numId="15">
    <w:abstractNumId w:val="2"/>
  </w:num>
  <w:num w:numId="16">
    <w:abstractNumId w:val="9"/>
  </w:num>
  <w:num w:numId="17">
    <w:abstractNumId w:val="25"/>
  </w:num>
  <w:num w:numId="18">
    <w:abstractNumId w:val="27"/>
  </w:num>
  <w:num w:numId="19">
    <w:abstractNumId w:val="7"/>
  </w:num>
  <w:num w:numId="20">
    <w:abstractNumId w:val="22"/>
  </w:num>
  <w:num w:numId="21">
    <w:abstractNumId w:val="24"/>
  </w:num>
  <w:num w:numId="22">
    <w:abstractNumId w:val="26"/>
  </w:num>
  <w:num w:numId="23">
    <w:abstractNumId w:val="18"/>
  </w:num>
  <w:num w:numId="24">
    <w:abstractNumId w:val="15"/>
  </w:num>
  <w:num w:numId="25">
    <w:abstractNumId w:val="17"/>
  </w:num>
  <w:num w:numId="26">
    <w:abstractNumId w:val="20"/>
  </w:num>
  <w:num w:numId="27">
    <w:abstractNumId w:val="4"/>
  </w:num>
  <w:num w:numId="28">
    <w:abstractNumId w:val="19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E0AA-6E82-429B-B28D-860C1296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</w:style>
  <w:style w:type="character" w:customStyle="1" w:styleId="eop">
    <w:name w:val="eop"/>
    <w:basedOn w:val="Zadanifontodlomka"/>
  </w:style>
  <w:style w:type="character" w:customStyle="1" w:styleId="tabchar">
    <w:name w:val="tabchar"/>
    <w:basedOn w:val="Zadanifontodlomka"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Birkić Tekavčić</cp:lastModifiedBy>
  <cp:revision>6</cp:revision>
  <cp:lastPrinted>2025-02-06T15:03:00Z</cp:lastPrinted>
  <dcterms:created xsi:type="dcterms:W3CDTF">2025-01-31T09:32:00Z</dcterms:created>
  <dcterms:modified xsi:type="dcterms:W3CDTF">2025-02-06T15:06:00Z</dcterms:modified>
</cp:coreProperties>
</file>