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160" w:line="259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OBRAZLOŽENJE POSEBNOG DIJELA FINANCIJSKOG PLANA PRORAČUNSKOG KORISNIKA</w:t>
      </w:r>
    </w:p>
    <w:p>
      <w:pPr>
        <w:spacing w:after="160" w:line="259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OSNOVNA ŠKOLA RETFALA</w:t>
      </w:r>
    </w:p>
    <w:p>
      <w:pPr>
        <w:spacing w:after="160" w:line="259" w:lineRule="auto"/>
        <w:rPr>
          <w:rFonts w:eastAsia="Calibri"/>
          <w:lang w:eastAsia="en-US"/>
        </w:rPr>
      </w:pPr>
    </w:p>
    <w:p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Calibri"/>
        </w:rPr>
      </w:pPr>
      <w:r>
        <w:rPr>
          <w:rFonts w:eastAsia="Calibri"/>
          <w:lang w:eastAsia="en-US"/>
        </w:rPr>
        <w:t xml:space="preserve">U proračunu proračunskog korisnika Osnovna škola </w:t>
      </w:r>
      <w:proofErr w:type="spellStart"/>
      <w:r>
        <w:rPr>
          <w:rFonts w:eastAsia="Calibri"/>
          <w:lang w:eastAsia="en-US"/>
        </w:rPr>
        <w:t>Retfala</w:t>
      </w:r>
      <w:proofErr w:type="spellEnd"/>
      <w:r>
        <w:rPr>
          <w:rFonts w:eastAsia="Calibri"/>
          <w:lang w:eastAsia="en-US"/>
        </w:rPr>
        <w:t xml:space="preserve"> planirana su sredstva za 4 programa u iznosu od 2.531.423,00</w:t>
      </w:r>
      <w:r>
        <w:rPr>
          <w:rFonts w:eastAsia="Calibri"/>
        </w:rPr>
        <w:t xml:space="preserve"> </w:t>
      </w:r>
      <w:r>
        <w:rPr>
          <w:rFonts w:eastAsia="Calibri"/>
          <w:lang w:eastAsia="en-US"/>
        </w:rPr>
        <w:t>eura u 2025., 2.468.807,00 eura u 2026. i 2.519.507,00 eura u 2027.</w:t>
      </w:r>
    </w:p>
    <w:p>
      <w:pPr>
        <w:jc w:val="both"/>
        <w:rPr>
          <w:b/>
          <w:bCs/>
          <w:color w:val="000000" w:themeColor="text1"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2"/>
        <w:gridCol w:w="11"/>
        <w:gridCol w:w="2280"/>
        <w:gridCol w:w="2326"/>
        <w:gridCol w:w="2217"/>
      </w:tblGrid>
      <w:t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Plan 2025. (EUR)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Projekcija 2026. (EUR)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Projekcija 2027. (EUR)</w:t>
            </w:r>
          </w:p>
        </w:tc>
      </w:tr>
      <w:t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1060 Redovna djelatnost osnovnih škola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1.880.755,00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1.914.660,00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1.952.970,00</w:t>
            </w:r>
          </w:p>
        </w:tc>
      </w:tr>
      <w:t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1061 Posebni programi osnovnih škola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576.479,00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494.123,00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505.335,00</w:t>
            </w:r>
          </w:p>
        </w:tc>
      </w:tr>
      <w:t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1062 Ulaganje u objekte osnovnih škola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51.464,00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51.979,00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53.017,,00</w:t>
            </w:r>
          </w:p>
        </w:tc>
      </w:tr>
      <w:tr>
        <w:trPr>
          <w:trHeight w:val="300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1063 Tekuće i investicijsko održavanje osnovnih škola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8.350,00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8.434,00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8.602,00</w:t>
            </w:r>
          </w:p>
        </w:tc>
      </w:tr>
      <w:t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Ukupno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2.531.423,00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2.468.807,00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2.519.507,00</w:t>
            </w:r>
          </w:p>
        </w:tc>
      </w:tr>
    </w:tbl>
    <w:p>
      <w:pPr>
        <w:keepNext/>
        <w:pBdr>
          <w:top w:val="single" w:sz="4" w:space="1" w:color="auto"/>
          <w:bottom w:val="single" w:sz="4" w:space="1" w:color="auto"/>
        </w:pBdr>
        <w:shd w:val="clear" w:color="auto" w:fill="E6E6E6"/>
        <w:overflowPunct w:val="0"/>
        <w:autoSpaceDE w:val="0"/>
        <w:autoSpaceDN w:val="0"/>
        <w:adjustRightInd w:val="0"/>
        <w:spacing w:before="720" w:after="120"/>
        <w:jc w:val="both"/>
        <w:textAlignment w:val="baseline"/>
        <w:outlineLvl w:val="1"/>
        <w:rPr>
          <w:rFonts w:eastAsia="Calibri"/>
          <w:b/>
          <w:color w:val="000000" w:themeColor="text1"/>
          <w:spacing w:val="20"/>
          <w:lang w:eastAsia="en-US"/>
        </w:rPr>
      </w:pPr>
      <w:r>
        <w:rPr>
          <w:rFonts w:eastAsia="Calibri"/>
          <w:b/>
          <w:color w:val="000000" w:themeColor="text1"/>
          <w:spacing w:val="20"/>
          <w:lang w:eastAsia="en-US"/>
        </w:rPr>
        <w:t>1060 Redovna djelatnost osnovnih škola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Iz sredstava za decentralizirane funkcije osigurava se financiranje minimalnoga financijskog standarda javnih potreba osnovnog školstva, i to: materijalni i financijski rashodi, rashodi za materijal, dijelove i usluge tekućeg i investicijskog održavanja i nabavu proizvedene dugotrajne imovine i dodatna ulaganja u nefinancijsku imovinu. Rashodi za zaposlene u osnovnim školama planirani su u državnom proračunu. </w:t>
      </w:r>
    </w:p>
    <w:p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Poslovni zadatci planirani su kroz 4 aktivnosti: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(1) A106001 Financiranje temeljem kriterija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(2) A106002 Financiranje temeljem stvarnih troškova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(3) A106004 Rashodi za zaposlene u osnovnim školama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(4) A106005 Ostali rashodi za zaposlene u osnovnom školstvu</w:t>
      </w:r>
    </w:p>
    <w:p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 Programu 1060 Redovna djelatnost osnovnih škola planirana su sredstva za 4 aktivnosti u iznosu od </w:t>
      </w:r>
      <w:r>
        <w:rPr>
          <w:rFonts w:eastAsia="Calibri"/>
        </w:rPr>
        <w:t xml:space="preserve">1.880.755,00 </w:t>
      </w:r>
      <w:r>
        <w:rPr>
          <w:rFonts w:eastAsia="Calibri"/>
          <w:lang w:eastAsia="en-US"/>
        </w:rPr>
        <w:t xml:space="preserve">eura u 2025., </w:t>
      </w:r>
      <w:r>
        <w:rPr>
          <w:rFonts w:eastAsia="Calibri"/>
        </w:rPr>
        <w:t xml:space="preserve">1.914.660,00 </w:t>
      </w:r>
      <w:r>
        <w:rPr>
          <w:rFonts w:eastAsia="Calibri"/>
          <w:lang w:eastAsia="en-US"/>
        </w:rPr>
        <w:t xml:space="preserve">eura u 2026. i </w:t>
      </w:r>
      <w:r>
        <w:rPr>
          <w:rFonts w:eastAsia="Calibri"/>
        </w:rPr>
        <w:t xml:space="preserve">1.952.970,00 </w:t>
      </w:r>
      <w:r>
        <w:rPr>
          <w:rFonts w:eastAsia="Calibri"/>
          <w:lang w:eastAsia="en-US"/>
        </w:rPr>
        <w:t>eura u 2027.</w:t>
      </w:r>
    </w:p>
    <w:p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lang w:eastAsia="en-US"/>
        </w:rPr>
      </w:pPr>
    </w:p>
    <w:p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lang w:eastAsia="en-US"/>
        </w:rPr>
      </w:pPr>
    </w:p>
    <w:p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5"/>
        <w:gridCol w:w="25"/>
        <w:gridCol w:w="2269"/>
        <w:gridCol w:w="2117"/>
        <w:gridCol w:w="2110"/>
      </w:tblGrid>
      <w:t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Plan 2025. (EUR)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Projekcija 2026. (EUR)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Projekcija 2027. (EUR)</w:t>
            </w:r>
          </w:p>
        </w:tc>
      </w:tr>
      <w:t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A106001 Financiranje temeljem kriterija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32.075,00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32.396,00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33.043,00</w:t>
            </w:r>
          </w:p>
        </w:tc>
      </w:tr>
      <w:t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A106002 Financiranje temeljem stvarnih troškove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94.770,00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95.697,00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97.672,00</w:t>
            </w:r>
          </w:p>
        </w:tc>
      </w:tr>
      <w:t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A106004 Rashodi za zaposlene u osnovnim školama 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1.659.758,00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1.691.473,00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1.725.300,00</w:t>
            </w:r>
          </w:p>
        </w:tc>
      </w:tr>
      <w:t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A106005 Ostali rashodi za zaposlene u osnovnom školstvu  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94.152,00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95.094,00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96.995,00</w:t>
            </w:r>
          </w:p>
        </w:tc>
      </w:tr>
      <w:t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Ukupno </w:t>
            </w:r>
            <w:r>
              <w:rPr>
                <w:rFonts w:eastAsia="Calibri"/>
                <w:lang w:eastAsia="en-US"/>
              </w:rPr>
              <w:t>1060 Redovna djelatnost osnovnih škola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1.880.755,00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1.914.660,00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1.952.970,00</w:t>
            </w:r>
          </w:p>
        </w:tc>
      </w:tr>
    </w:tbl>
    <w:p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OBRAZLOŽENJE AKTIVNOSTI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A106001 Financiranje temeljem kriterija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6"/>
        <w:gridCol w:w="13"/>
        <w:gridCol w:w="2316"/>
        <w:gridCol w:w="2126"/>
        <w:gridCol w:w="2075"/>
      </w:tblGrid>
      <w:t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Plan 2025. (EUR)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Projekcija 2026. (EUR)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Projekcija 2027. (EUR)</w:t>
            </w:r>
          </w:p>
        </w:tc>
      </w:tr>
      <w:t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A106001 Financiranje temeljem kriterija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32.075,00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32.396,00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33.043,00</w:t>
            </w:r>
          </w:p>
        </w:tc>
      </w:tr>
    </w:tbl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b/>
          <w:color w:val="000000" w:themeColor="text1"/>
          <w:lang w:eastAsia="en-US"/>
        </w:rPr>
        <w:t>Opis aktivnosti</w:t>
      </w:r>
      <w:r>
        <w:rPr>
          <w:rFonts w:eastAsia="Calibri"/>
          <w:color w:val="000000" w:themeColor="text1"/>
          <w:lang w:eastAsia="en-US"/>
        </w:rPr>
        <w:t xml:space="preserve"> 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>
        <w:rPr>
          <w:rFonts w:eastAsia="Calibri"/>
        </w:rPr>
        <w:t>Kroz ovu Aktivnost financiraju se: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1. dnevnice i naknade za službeni put u zemlji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2. uredski materijal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3. komunalne usluge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4. usluge HT-a (telefonski i telefaks troškovi te poštarina)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5. literatura (publikacije, časopisi, glasila, knjige i ostalo)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6. materijal za čišćenje i održavanje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7. iznošenje i odvoz smeća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8. opskrba vodom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9. službena, radna i zaštitna odjeća i obuća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10. seminari, savjetovanja i simpoziji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11. sitni inventar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12. bankarske usluge i usluge platnog prometa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13. reprezentacija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14. intelektualne i osobne usluge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lastRenderedPageBreak/>
        <w:t>15. računalne usluge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16. redoviti propisani nadzor i ispitivanje instalacija te postrojenja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17. redoviti i povremeni servisi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18. tekuće održavanje nastavnih sredstava za redovito održavanje nastavnog procesa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</w:rPr>
        <w:t xml:space="preserve">19. materijal, dijelovi i usluge - hitne intervencije 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Cilj aktivnosti 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Redovito funkcioniranje Osnovne škole </w:t>
      </w:r>
      <w:proofErr w:type="spellStart"/>
      <w:r>
        <w:rPr>
          <w:rFonts w:eastAsia="Calibri"/>
          <w:color w:val="000000" w:themeColor="text1"/>
        </w:rPr>
        <w:t>Retfala</w:t>
      </w:r>
      <w:proofErr w:type="spellEnd"/>
      <w:r>
        <w:rPr>
          <w:rFonts w:eastAsia="Calibri"/>
          <w:color w:val="000000" w:themeColor="text1"/>
        </w:rPr>
        <w:t>.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Pokazatelji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Poslovanje škole u cijelosti redovito i u skladu sa svim zakonskim propisima potkrijepljeno računima.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Zakonske i druge pravne osnove 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Program javnih potreba u osnovnom školstvu i posebnim programima obrazovanja i znanosti na području Grada Osijeka za 2023.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Odluka o kriterijima i mjerilima za utvrđivanje bilančnih prava za financiranje minimalnog financijskog standarda javnih potreba osnovnog školstva u Gradu Osijeku za 2024.</w:t>
      </w:r>
    </w:p>
    <w:p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OBRAZLOŽENJE AKTIVNOSTI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A106002 Financiranje temeljem stvarnih troškove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6"/>
        <w:gridCol w:w="13"/>
        <w:gridCol w:w="2149"/>
        <w:gridCol w:w="2116"/>
        <w:gridCol w:w="2252"/>
      </w:tblGrid>
      <w:t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Plan 2025. (EUR)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Projekcija 2026. (EUR)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Projekcija 2027. (EUR)</w:t>
            </w:r>
          </w:p>
        </w:tc>
      </w:tr>
      <w:t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A106002 Financiranje temeljem stvarnih troškove</w:t>
            </w:r>
            <w:r>
              <w:rPr>
                <w:rFonts w:eastAsia="Calibri"/>
                <w:bCs/>
                <w:color w:val="000000" w:themeColor="text1"/>
              </w:rPr>
              <w:t xml:space="preserve"> 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94.770,00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95.697,00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right"/>
            </w:pPr>
            <w:r>
              <w:rPr>
                <w:rFonts w:eastAsia="Calibri"/>
                <w:color w:val="000000" w:themeColor="text1"/>
              </w:rPr>
              <w:t>97.672,00</w:t>
            </w:r>
          </w:p>
        </w:tc>
      </w:tr>
    </w:tbl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b/>
          <w:color w:val="000000" w:themeColor="text1"/>
          <w:lang w:eastAsia="en-US"/>
        </w:rPr>
        <w:t>Opis aktivnosti</w:t>
      </w:r>
      <w:r>
        <w:rPr>
          <w:rFonts w:eastAsia="Calibri"/>
          <w:color w:val="000000" w:themeColor="text1"/>
          <w:lang w:eastAsia="en-US"/>
        </w:rPr>
        <w:t xml:space="preserve"> 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U okviru ove aktivnosti OŠ </w:t>
      </w:r>
      <w:proofErr w:type="spellStart"/>
      <w:r>
        <w:rPr>
          <w:rFonts w:eastAsia="Calibri"/>
          <w:color w:val="000000" w:themeColor="text1"/>
        </w:rPr>
        <w:t>Retfala</w:t>
      </w:r>
      <w:proofErr w:type="spellEnd"/>
      <w:r>
        <w:rPr>
          <w:rFonts w:eastAsia="Calibri"/>
          <w:color w:val="000000" w:themeColor="text1"/>
        </w:rPr>
        <w:t xml:space="preserve"> planira sredstva za financiranje rashoda poslovanja, temeljem stvarnog troška škole, obuhvaća financiranje pedagoške dokumentacije za početak i kraj školske godine, energenata za zagrijavanje, rasvjetu i pogon škole, zdravstvenih pregleda nastavnog osoblja škole.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Cilj aktivnosti </w:t>
      </w:r>
    </w:p>
    <w:p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Sustavno se brinuti o funkcioniranju škole kao i o sigurnosti boravka u njoj.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Pokazatelji  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FF0000"/>
          <w:lang w:eastAsia="en-US"/>
        </w:rPr>
      </w:pPr>
      <w:r>
        <w:rPr>
          <w:rFonts w:eastAsia="Calibri"/>
          <w:color w:val="000000" w:themeColor="text1"/>
        </w:rPr>
        <w:t>Redovito i uredno izvršavanje zadanih aktivnosti. Aktivnosti su potkrijepljene računima u skladu sa zakonskim odredbama.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Zakonske i druge pravne osnove 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Program javnih potreba u osnovnom školstvu i posebnim programima obrazovanja i znanosti na području Grada Osijeka za 2024.,</w:t>
      </w:r>
    </w:p>
    <w:p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Odluka o kriterijima i mjerilima za utvrđivanje bilančnih prava za financiranje minimalnog financijskog standarda javnih potreba osnovnog školstva u Gradu Osijeku za 2024.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color w:val="FF0000"/>
          <w:lang w:eastAsia="en-US"/>
        </w:rPr>
        <w:t xml:space="preserve"> 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OBRAZLOŽENJE AKTIVNOSTI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A106004 Rashodi za zaposlene u osnovnim školama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4"/>
        <w:gridCol w:w="13"/>
        <w:gridCol w:w="2150"/>
        <w:gridCol w:w="2294"/>
        <w:gridCol w:w="2075"/>
      </w:tblGrid>
      <w:t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Plan 2025. (EUR)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Projekcija 2026. (EUR)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Projekcija 2027. (EUR)</w:t>
            </w:r>
          </w:p>
        </w:tc>
      </w:tr>
      <w:t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A106004 Rashodi za zaposlene u osnovnim školama  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1.659.758,00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1.691.473,00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right"/>
            </w:pPr>
            <w:r>
              <w:rPr>
                <w:rFonts w:eastAsia="Calibri"/>
                <w:color w:val="000000" w:themeColor="text1"/>
              </w:rPr>
              <w:t>1.725.300,00</w:t>
            </w:r>
          </w:p>
        </w:tc>
      </w:tr>
    </w:tbl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FF0000"/>
          <w:lang w:eastAsia="en-US"/>
        </w:rPr>
      </w:pPr>
      <w:r>
        <w:rPr>
          <w:rFonts w:eastAsia="Calibri"/>
          <w:b/>
          <w:color w:val="000000" w:themeColor="text1"/>
          <w:lang w:eastAsia="en-US"/>
        </w:rPr>
        <w:t>Opis aktivnosti</w:t>
      </w:r>
    </w:p>
    <w:p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Kroz Aktivnost A106004 Rashodi za zaposlene u osnovnim školama planirana su sredstva za zaposlene u osnovnim školama.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Cilj aktivnosti 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Točno, u skladu sa zakonskim propisima i redovito obračunavati plaće za zaposlenike OŠ </w:t>
      </w:r>
      <w:proofErr w:type="spellStart"/>
      <w:r>
        <w:rPr>
          <w:rFonts w:eastAsia="Calibri"/>
          <w:lang w:eastAsia="en-US"/>
        </w:rPr>
        <w:t>Retfala</w:t>
      </w:r>
      <w:proofErr w:type="spellEnd"/>
      <w:r>
        <w:rPr>
          <w:rFonts w:eastAsia="Calibri"/>
          <w:lang w:eastAsia="en-US"/>
        </w:rPr>
        <w:t>.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Pokazatelji 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Redovito isplaćena plaća za zaposlenike u OŠ </w:t>
      </w:r>
      <w:proofErr w:type="spellStart"/>
      <w:r>
        <w:rPr>
          <w:rFonts w:eastAsia="Calibri"/>
          <w:lang w:eastAsia="en-US"/>
        </w:rPr>
        <w:t>Retfala</w:t>
      </w:r>
      <w:proofErr w:type="spellEnd"/>
      <w:r>
        <w:rPr>
          <w:rFonts w:eastAsia="Calibri"/>
          <w:lang w:eastAsia="en-US"/>
        </w:rPr>
        <w:t>.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Zakonske i druge pravne osnove 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Program javnih potreba u osnovnom školstvu i posebnim programima obrazovanja i znanosti na području Grada Osijeka za 2024.,</w:t>
      </w:r>
    </w:p>
    <w:p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Odluka o kriterijima i mjerilima za utvrđivanje bilančnih prava za financiranje minimalnog financijskog standarda javnih potreba osnovnog školstva u Gradu Osijeku za 2024.</w:t>
      </w:r>
    </w:p>
    <w:p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OBRAZLOŽENJE AKTIVNOSTI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A106005 Ostali rashodi za zaposlene u osnovnim školama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4"/>
        <w:gridCol w:w="13"/>
        <w:gridCol w:w="2150"/>
        <w:gridCol w:w="2117"/>
        <w:gridCol w:w="2252"/>
      </w:tblGrid>
      <w:t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Plan 2025. (EUR)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Projekcija 2026. (EUR)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Projekcija 2027. (EUR)</w:t>
            </w:r>
          </w:p>
        </w:tc>
      </w:tr>
      <w:t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A106005 Ostali rashodi za zaposlene u osnovnom školstvu 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94.152,00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right"/>
            </w:pPr>
            <w:r>
              <w:rPr>
                <w:rFonts w:eastAsia="Calibri"/>
                <w:color w:val="000000" w:themeColor="text1"/>
              </w:rPr>
              <w:t>95.094,00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right"/>
            </w:pPr>
            <w:r>
              <w:rPr>
                <w:rFonts w:eastAsia="Calibri"/>
                <w:color w:val="000000" w:themeColor="text1"/>
              </w:rPr>
              <w:t>96.995,00</w:t>
            </w:r>
          </w:p>
        </w:tc>
      </w:tr>
    </w:tbl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b/>
          <w:color w:val="000000" w:themeColor="text1"/>
          <w:lang w:eastAsia="en-US"/>
        </w:rPr>
        <w:t>Opis aktivnosti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Kroz Aktivnost A106005 Ostali rashodi za zaposlene  planirana su sredstva za  ostale rashode za zaposlene i naknade troškova zaposlenika.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Cilj aktivnosti 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Točno, u skladu sa zakonskim propisima i redovito obračunavati naknade za zaposlenike OŠ </w:t>
      </w:r>
      <w:proofErr w:type="spellStart"/>
      <w:r>
        <w:rPr>
          <w:rFonts w:eastAsia="Calibri"/>
          <w:lang w:eastAsia="en-US"/>
        </w:rPr>
        <w:t>Retfala</w:t>
      </w:r>
      <w:proofErr w:type="spellEnd"/>
      <w:r>
        <w:rPr>
          <w:rFonts w:eastAsia="Calibri"/>
          <w:lang w:eastAsia="en-US"/>
        </w:rPr>
        <w:t>.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FF0000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Pokazatelji 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Redovito isplaćene naknade za zaposlenike OŠ </w:t>
      </w:r>
      <w:proofErr w:type="spellStart"/>
      <w:r>
        <w:rPr>
          <w:rFonts w:eastAsia="Calibri"/>
          <w:lang w:eastAsia="en-US"/>
        </w:rPr>
        <w:t>Retfala</w:t>
      </w:r>
      <w:proofErr w:type="spellEnd"/>
      <w:r>
        <w:rPr>
          <w:rFonts w:eastAsia="Calibri"/>
          <w:lang w:eastAsia="en-US"/>
        </w:rPr>
        <w:t>.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Zakonske i druge pravne osnove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Zakon o odgoju i obrazovanju u osnovnoj i srednjoj školi  (Narodne novine br. 87/08, 86/09, 92/10, 105/10-ispr.,  90/11, 5/12, 16/12, 86/12, 126/12 - pročišćeni tekst, 94/13, 152/14, 7/17, 68/18, 98/19 i 64/20),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Program javnih potreba u osnovnom školstvu i posebnim programima obrazovanja i znanosti na području Grada Osijeka za 2023.,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color w:val="000000" w:themeColor="text1"/>
        </w:rPr>
        <w:t>Temeljni kolektivni ugovor za službenike i namještenike u javnim službama (NN 56/22)</w:t>
      </w:r>
    </w:p>
    <w:p>
      <w:pPr>
        <w:keepNext/>
        <w:pBdr>
          <w:top w:val="single" w:sz="4" w:space="1" w:color="auto"/>
          <w:bottom w:val="single" w:sz="4" w:space="1" w:color="auto"/>
        </w:pBdr>
        <w:shd w:val="clear" w:color="auto" w:fill="E6E6E6"/>
        <w:overflowPunct w:val="0"/>
        <w:autoSpaceDE w:val="0"/>
        <w:autoSpaceDN w:val="0"/>
        <w:adjustRightInd w:val="0"/>
        <w:spacing w:before="720" w:after="120"/>
        <w:jc w:val="both"/>
        <w:textAlignment w:val="baseline"/>
        <w:outlineLvl w:val="1"/>
        <w:rPr>
          <w:rFonts w:eastAsia="Calibri"/>
          <w:b/>
          <w:color w:val="000000" w:themeColor="text1"/>
          <w:spacing w:val="20"/>
          <w:lang w:eastAsia="en-US"/>
        </w:rPr>
      </w:pPr>
      <w:r>
        <w:rPr>
          <w:rFonts w:eastAsia="Calibri"/>
          <w:b/>
          <w:color w:val="000000" w:themeColor="text1"/>
          <w:spacing w:val="20"/>
          <w:lang w:eastAsia="en-US"/>
        </w:rPr>
        <w:t>1061 Posebni programi osnovnih škola</w:t>
      </w:r>
      <w:r>
        <w:rPr>
          <w:rFonts w:eastAsia="Calibri"/>
          <w:color w:val="000000" w:themeColor="text1"/>
          <w:lang w:eastAsia="en-GB"/>
        </w:rPr>
        <w:t xml:space="preserve"> 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lang w:eastAsia="en-GB"/>
        </w:rPr>
        <w:t xml:space="preserve">U OŠ </w:t>
      </w:r>
      <w:proofErr w:type="spellStart"/>
      <w:r>
        <w:rPr>
          <w:rFonts w:eastAsia="Calibri"/>
          <w:color w:val="000000" w:themeColor="text1"/>
          <w:lang w:eastAsia="en-GB"/>
        </w:rPr>
        <w:t>Retfala</w:t>
      </w:r>
      <w:proofErr w:type="spellEnd"/>
      <w:r>
        <w:rPr>
          <w:rFonts w:eastAsia="Calibri"/>
          <w:color w:val="000000" w:themeColor="text1"/>
          <w:lang w:eastAsia="en-GB"/>
        </w:rPr>
        <w:t xml:space="preserve"> daje se podrška učenicima s posebnim potrebama – darovitima i učenicima s poteškoćama u razvoju kroz pružanje pomoći zapošljavanjem asistenata u nastavi te upućivanjem učenika u Centre izvrsnosti čime se </w:t>
      </w:r>
      <w:r>
        <w:rPr>
          <w:rFonts w:eastAsia="Calibri"/>
          <w:color w:val="000000" w:themeColor="text1"/>
        </w:rPr>
        <w:t>potiče darovite učenike na izražavanje i razvijanje svoje darovitosti iz društvenih i prirodnih predmeta.</w:t>
      </w:r>
    </w:p>
    <w:p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Poslovni zadatci planirani su kroz 3 aktivnosti i 3 tekuća projekta:  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(1) A106102 Školska kuhinja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(2) A106104 Stručna vijeća, mentorstva, natjecanja, stručni ispiti i </w:t>
      </w:r>
      <w:proofErr w:type="spellStart"/>
      <w:r>
        <w:rPr>
          <w:rFonts w:eastAsia="Calibri"/>
          <w:color w:val="000000" w:themeColor="text1"/>
          <w:lang w:eastAsia="en-US"/>
        </w:rPr>
        <w:t>kurikularna</w:t>
      </w:r>
      <w:proofErr w:type="spellEnd"/>
      <w:r>
        <w:rPr>
          <w:rFonts w:eastAsia="Calibri"/>
          <w:color w:val="000000" w:themeColor="text1"/>
          <w:lang w:eastAsia="en-US"/>
        </w:rPr>
        <w:t xml:space="preserve"> reforma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(3) A106106 Produženi boravak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(4) T106111 Osigurajmo im </w:t>
      </w:r>
      <w:proofErr w:type="spellStart"/>
      <w:r>
        <w:rPr>
          <w:rFonts w:eastAsia="Calibri"/>
          <w:color w:val="000000" w:themeColor="text1"/>
          <w:lang w:eastAsia="en-US"/>
        </w:rPr>
        <w:t>JEdnaKost</w:t>
      </w:r>
      <w:proofErr w:type="spellEnd"/>
      <w:r>
        <w:rPr>
          <w:rFonts w:eastAsia="Calibri"/>
          <w:color w:val="000000" w:themeColor="text1"/>
          <w:lang w:eastAsia="en-US"/>
        </w:rPr>
        <w:t xml:space="preserve"> 8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(5) T106112 Školska shema 4</w:t>
      </w:r>
    </w:p>
    <w:p>
      <w:pPr>
        <w:spacing w:line="240" w:lineRule="atLeast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(6) T106104 </w:t>
      </w:r>
      <w:proofErr w:type="spellStart"/>
      <w:r>
        <w:rPr>
          <w:rFonts w:eastAsia="Calibri"/>
          <w:color w:val="000000" w:themeColor="text1"/>
          <w:lang w:eastAsia="en-US"/>
        </w:rPr>
        <w:t>Erasmus</w:t>
      </w:r>
      <w:proofErr w:type="spellEnd"/>
    </w:p>
    <w:p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U Programu 1061 Posebni programi osnovnih škola planirana su sredstva za 4 aktivnosti i 3 tekuća projekta</w:t>
      </w:r>
      <w:r>
        <w:rPr>
          <w:rFonts w:eastAsia="Calibri"/>
          <w:color w:val="FF0000"/>
          <w:lang w:eastAsia="en-US"/>
        </w:rPr>
        <w:t xml:space="preserve"> </w:t>
      </w:r>
      <w:r>
        <w:rPr>
          <w:rFonts w:eastAsia="Calibri"/>
          <w:lang w:eastAsia="en-US"/>
        </w:rPr>
        <w:t>u iznosu od 450.019,00</w:t>
      </w:r>
      <w:r>
        <w:rPr>
          <w:rFonts w:eastAsia="Calibri"/>
        </w:rPr>
        <w:t xml:space="preserve"> </w:t>
      </w:r>
      <w:r>
        <w:rPr>
          <w:rFonts w:eastAsia="Calibri"/>
          <w:lang w:eastAsia="en-US"/>
        </w:rPr>
        <w:t>eura u 2025., 338.751,00 eura u 2026. i  338.751,00</w:t>
      </w:r>
      <w:r>
        <w:rPr>
          <w:rFonts w:eastAsia="Calibri"/>
        </w:rPr>
        <w:t xml:space="preserve"> </w:t>
      </w:r>
      <w:r>
        <w:rPr>
          <w:rFonts w:eastAsia="Calibri"/>
          <w:lang w:eastAsia="en-US"/>
        </w:rPr>
        <w:t>eura u 2027.</w:t>
      </w:r>
    </w:p>
    <w:p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5"/>
        <w:gridCol w:w="25"/>
        <w:gridCol w:w="2153"/>
        <w:gridCol w:w="2126"/>
        <w:gridCol w:w="2453"/>
      </w:tblGrid>
      <w:t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Plan 2025. (EUR)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Projekcija 2026. (EUR)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Projekcija 2027. (EUR)</w:t>
            </w:r>
          </w:p>
        </w:tc>
      </w:tr>
      <w:t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A106102 Školska kuhinja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139.450,00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55.853,00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56.970,00</w:t>
            </w:r>
          </w:p>
        </w:tc>
      </w:tr>
      <w:t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A106104 Stručna vijeća, mentorstva, natjecanja, stručni ispiti i </w:t>
            </w: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kurikularna</w:t>
            </w:r>
            <w:proofErr w:type="spellEnd"/>
            <w:r>
              <w:rPr>
                <w:rFonts w:eastAsia="Calibri"/>
                <w:color w:val="000000" w:themeColor="text1"/>
                <w:lang w:eastAsia="en-US"/>
              </w:rPr>
              <w:t xml:space="preserve"> reforma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15.950,00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16.110,00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16.432,00</w:t>
            </w:r>
          </w:p>
        </w:tc>
      </w:tr>
      <w:t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A106106 Produženi boravak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250.450,00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right"/>
            </w:pPr>
            <w:r>
              <w:t>252.955,00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258.015,00</w:t>
            </w:r>
          </w:p>
        </w:tc>
      </w:tr>
      <w:t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T106111 Osigurajmo im </w:t>
            </w: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JEdnaKost</w:t>
            </w:r>
            <w:proofErr w:type="spellEnd"/>
            <w:r>
              <w:rPr>
                <w:rFonts w:eastAsia="Calibri"/>
                <w:color w:val="000000" w:themeColor="text1"/>
                <w:lang w:eastAsia="en-US"/>
              </w:rPr>
              <w:t xml:space="preserve"> 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144.592,00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146.036,00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right"/>
            </w:pPr>
            <w:r>
              <w:rPr>
                <w:rFonts w:eastAsia="Calibri"/>
                <w:color w:val="000000" w:themeColor="text1"/>
              </w:rPr>
              <w:t>148.957,00</w:t>
            </w:r>
          </w:p>
        </w:tc>
      </w:tr>
      <w:t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T106112 Školska shema 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3.242,00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0,00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0,00</w:t>
            </w:r>
          </w:p>
        </w:tc>
      </w:tr>
      <w:tr>
        <w:trPr>
          <w:trHeight w:val="3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T106104 </w:t>
            </w:r>
            <w:proofErr w:type="spellStart"/>
            <w:r>
              <w:rPr>
                <w:rFonts w:eastAsia="Calibri"/>
              </w:rPr>
              <w:t>Erasmus</w:t>
            </w:r>
            <w:proofErr w:type="spellEnd"/>
          </w:p>
          <w:p>
            <w:pPr>
              <w:rPr>
                <w:rFonts w:eastAsia="Calibri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21.660,00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21.876,00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22.314,00</w:t>
            </w:r>
          </w:p>
        </w:tc>
      </w:tr>
      <w:t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Ukupno </w:t>
            </w:r>
            <w:r>
              <w:rPr>
                <w:rFonts w:eastAsia="Calibri"/>
                <w:lang w:eastAsia="en-US"/>
              </w:rPr>
              <w:t>1061 Posebni programi osnovnih škola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576.479,00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right"/>
            </w:pPr>
            <w:r>
              <w:rPr>
                <w:rFonts w:eastAsia="Calibri"/>
              </w:rPr>
              <w:t>494.123,00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right"/>
            </w:pPr>
            <w:r>
              <w:rPr>
                <w:rFonts w:eastAsia="Calibri"/>
              </w:rPr>
              <w:t>505.335,00</w:t>
            </w:r>
          </w:p>
        </w:tc>
      </w:tr>
    </w:tbl>
    <w:p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OBRAZLOŽENJE AKTIVNOSTI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A106102 Školska kuhinja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3"/>
        <w:gridCol w:w="13"/>
        <w:gridCol w:w="2035"/>
        <w:gridCol w:w="2232"/>
        <w:gridCol w:w="2253"/>
      </w:tblGrid>
      <w:tr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Plan 2025. (EUR)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Projekcija 2026. (EUR)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Projekcija 2027. (EUR)</w:t>
            </w:r>
          </w:p>
        </w:tc>
      </w:tr>
      <w:t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A106102 Školska kuhinja</w:t>
            </w:r>
            <w:r>
              <w:rPr>
                <w:rFonts w:eastAsia="Calibri"/>
                <w:bCs/>
                <w:color w:val="000000" w:themeColor="text1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139.450,00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55.853,00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56.970,00</w:t>
            </w:r>
          </w:p>
        </w:tc>
      </w:tr>
    </w:tbl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b/>
          <w:color w:val="000000" w:themeColor="text1"/>
          <w:lang w:eastAsia="en-US"/>
        </w:rPr>
        <w:t>Opis aktivnosti</w:t>
      </w:r>
      <w:r>
        <w:rPr>
          <w:rFonts w:eastAsia="Calibri"/>
          <w:color w:val="000000" w:themeColor="text1"/>
          <w:lang w:eastAsia="en-US"/>
        </w:rPr>
        <w:t xml:space="preserve"> </w:t>
      </w:r>
    </w:p>
    <w:p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color w:val="000000" w:themeColor="text1"/>
        </w:rPr>
      </w:pPr>
      <w:r>
        <w:rPr>
          <w:rFonts w:eastAsia="Calibri"/>
        </w:rPr>
        <w:t>Vlada RH financira jedan obrok dnevno za sve učenike osnovnih škola od prvog do osmog razreda u iznosu od 1,33 € po učeniku.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Cilj aktivnosti 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Osigurati učenicima kvalitetan i zdrav obrok u školi.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Pokazatelji  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lang w:eastAsia="en-US"/>
        </w:rPr>
        <w:t>Redovita isporuka naručenih obroka i namirnica za kvalitetan školski doručak potkrijepljeno računima i otpremnicama u skladu s propisima. Zadovoljstvo učenika ponuđenim obrocima i praćenje konzumiranja istih.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Zakonske i druge pravne osnove</w:t>
      </w:r>
    </w:p>
    <w:p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Zakon o odgoju i obrazovanju u osnovnoj i srednjoj školi  (Narodne novine br. 87/08, 86/09, 92/10, 105/10-ispr.,  90/11, 5/12, 16/12, 86/12, 126/12-pročišćeni tekst, 94/13, 152/14, 7/17, 68/18, 98/19 i 64/20),Program javnih potreba u osnovnom školstvu i posebnim programima obrazovanja i znanosti na području Grada Osijeka za 2023.,Zakon o proračunu (Narodne novine br. 87/08, 136/12 i 15/15).</w:t>
      </w:r>
    </w:p>
    <w:p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color w:val="000000" w:themeColor="text1"/>
        </w:rPr>
      </w:pPr>
    </w:p>
    <w:p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b/>
          <w:bCs/>
          <w:color w:val="000000" w:themeColor="text1"/>
          <w:lang w:eastAsia="en-US"/>
        </w:rPr>
      </w:pPr>
    </w:p>
    <w:p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b/>
          <w:bCs/>
          <w:color w:val="000000" w:themeColor="text1"/>
          <w:lang w:eastAsia="en-US"/>
        </w:rPr>
      </w:pPr>
    </w:p>
    <w:p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b/>
          <w:bCs/>
          <w:color w:val="000000" w:themeColor="text1"/>
          <w:lang w:eastAsia="en-US"/>
        </w:rPr>
      </w:pPr>
    </w:p>
    <w:p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b/>
          <w:bCs/>
          <w:color w:val="000000" w:themeColor="text1"/>
          <w:lang w:eastAsia="en-US"/>
        </w:rPr>
      </w:pPr>
    </w:p>
    <w:p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b/>
          <w:bCs/>
          <w:color w:val="000000" w:themeColor="text1"/>
          <w:lang w:eastAsia="en-US"/>
        </w:rPr>
      </w:pPr>
    </w:p>
    <w:p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b/>
          <w:bCs/>
          <w:color w:val="000000" w:themeColor="text1"/>
          <w:lang w:eastAsia="en-US"/>
        </w:rPr>
      </w:pPr>
    </w:p>
    <w:p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OBRAZLOŽENJE AKTIVNOSTI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A106104 Stručna vijeća, mentorstva, natjecanja, stručni ispiti i </w:t>
      </w:r>
      <w:proofErr w:type="spellStart"/>
      <w:r>
        <w:rPr>
          <w:rFonts w:eastAsia="Calibri"/>
          <w:b/>
          <w:bCs/>
          <w:color w:val="000000" w:themeColor="text1"/>
          <w:lang w:eastAsia="en-US"/>
        </w:rPr>
        <w:t>kurikularna</w:t>
      </w:r>
      <w:proofErr w:type="spellEnd"/>
      <w:r>
        <w:rPr>
          <w:rFonts w:eastAsia="Calibri"/>
          <w:b/>
          <w:bCs/>
          <w:color w:val="000000" w:themeColor="text1"/>
          <w:lang w:eastAsia="en-US"/>
        </w:rPr>
        <w:t xml:space="preserve"> reforma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5"/>
        <w:gridCol w:w="13"/>
        <w:gridCol w:w="2150"/>
        <w:gridCol w:w="2116"/>
        <w:gridCol w:w="2252"/>
      </w:tblGrid>
      <w:tr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Plan 2025. (EUR)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Projekcija 2026. (EUR)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Projekcija 2027. (EUR)</w:t>
            </w:r>
          </w:p>
        </w:tc>
      </w:tr>
      <w:t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A106104 Stručna vijeća, mentorstva, natjecanja, stručni ispiti i </w:t>
            </w: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kurikularna</w:t>
            </w:r>
            <w:proofErr w:type="spellEnd"/>
            <w:r>
              <w:rPr>
                <w:rFonts w:eastAsia="Calibri"/>
                <w:color w:val="000000" w:themeColor="text1"/>
                <w:lang w:eastAsia="en-US"/>
              </w:rPr>
              <w:t xml:space="preserve"> reforma</w:t>
            </w:r>
            <w:r>
              <w:rPr>
                <w:rFonts w:eastAsia="Calibri"/>
                <w:bCs/>
                <w:color w:val="000000" w:themeColor="text1"/>
              </w:rPr>
              <w:t xml:space="preserve"> 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15.950,00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16.110,00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16.432,00</w:t>
            </w:r>
          </w:p>
        </w:tc>
      </w:tr>
    </w:tbl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color w:val="000000" w:themeColor="text1"/>
          <w:lang w:eastAsia="en-US"/>
        </w:rPr>
      </w:pP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color w:val="000000" w:themeColor="text1"/>
          <w:lang w:eastAsia="en-US"/>
        </w:rPr>
      </w:pPr>
    </w:p>
    <w:p>
      <w:pPr>
        <w:jc w:val="both"/>
        <w:rPr>
          <w:rFonts w:eastAsia="Calibri"/>
          <w:b/>
          <w:bCs/>
          <w:color w:val="000000" w:themeColor="text1"/>
          <w:lang w:eastAsia="en-US"/>
        </w:rPr>
      </w:pP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b/>
          <w:color w:val="000000" w:themeColor="text1"/>
          <w:lang w:eastAsia="en-US"/>
        </w:rPr>
        <w:t>Opis aktivnosti</w:t>
      </w:r>
      <w:r>
        <w:rPr>
          <w:rFonts w:eastAsia="Calibri"/>
          <w:color w:val="000000" w:themeColor="text1"/>
          <w:lang w:eastAsia="en-US"/>
        </w:rPr>
        <w:t xml:space="preserve"> 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U OŠ </w:t>
      </w:r>
      <w:proofErr w:type="spellStart"/>
      <w:r>
        <w:rPr>
          <w:rFonts w:eastAsia="Calibri"/>
          <w:color w:val="000000" w:themeColor="text1"/>
        </w:rPr>
        <w:t>Retfala</w:t>
      </w:r>
      <w:proofErr w:type="spellEnd"/>
      <w:r>
        <w:rPr>
          <w:rFonts w:eastAsia="Calibri"/>
          <w:color w:val="000000" w:themeColor="text1"/>
        </w:rPr>
        <w:t xml:space="preserve"> polažu se stručni ispiti za učitelje matematike.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Učitelji OŠ </w:t>
      </w:r>
      <w:proofErr w:type="spellStart"/>
      <w:r>
        <w:rPr>
          <w:rFonts w:eastAsia="Calibri"/>
          <w:color w:val="000000" w:themeColor="text1"/>
        </w:rPr>
        <w:t>Retfala</w:t>
      </w:r>
      <w:proofErr w:type="spellEnd"/>
      <w:r>
        <w:rPr>
          <w:rFonts w:eastAsia="Calibri"/>
          <w:color w:val="000000" w:themeColor="text1"/>
        </w:rPr>
        <w:t xml:space="preserve"> mentori su studentima u okviru stručno pedagoške prakse, ali i mentori su pripravnicima do polaganja stručnoga ispita.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Cilj aktivnosti 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t>Permanentno obrazovanje i unaprjeđivanje znanja i kompetencija učitelja i stručnih suradnika, pripravnika i studenata.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Pokazatelji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Broj održanih županijskih stručnih vijeća, stručnih ispita i broj studenata na praksi te napredovanja učitelja OŠ </w:t>
      </w:r>
      <w:proofErr w:type="spellStart"/>
      <w:r>
        <w:rPr>
          <w:rFonts w:eastAsia="Calibri"/>
          <w:color w:val="000000" w:themeColor="text1"/>
          <w:lang w:eastAsia="en-US"/>
        </w:rPr>
        <w:t>Retfala</w:t>
      </w:r>
      <w:proofErr w:type="spellEnd"/>
      <w:r>
        <w:rPr>
          <w:rFonts w:eastAsia="Calibri"/>
          <w:color w:val="000000" w:themeColor="text1"/>
          <w:lang w:eastAsia="en-US"/>
        </w:rPr>
        <w:t xml:space="preserve"> u viša zvanja.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Zakonske i druge pravne osnove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Zakon o proračunu (Narodne novine br. 87/08, 136/12 i 15/15). </w:t>
      </w:r>
    </w:p>
    <w:p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color w:val="000000" w:themeColor="text1"/>
        </w:rPr>
      </w:pPr>
    </w:p>
    <w:p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OBRAZLOŽENJE AKTIVNOSTI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A106106 Produženi boravak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4"/>
        <w:gridCol w:w="13"/>
        <w:gridCol w:w="2150"/>
        <w:gridCol w:w="2117"/>
        <w:gridCol w:w="2252"/>
      </w:tblGrid>
      <w:t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Plan 2025. (EUR)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Projekcija 2026. (EUR)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Projekcija 2027. (EUR)</w:t>
            </w:r>
          </w:p>
        </w:tc>
      </w:tr>
      <w:t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A106106 Produženi boravak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250.450,00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252.955,00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258.015,00</w:t>
            </w:r>
          </w:p>
        </w:tc>
      </w:tr>
    </w:tbl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b/>
          <w:color w:val="000000" w:themeColor="text1"/>
          <w:lang w:eastAsia="en-US"/>
        </w:rPr>
        <w:t>Opis aktivnosti</w:t>
      </w:r>
      <w:r>
        <w:rPr>
          <w:rFonts w:eastAsia="Calibri"/>
          <w:color w:val="000000" w:themeColor="text1"/>
          <w:lang w:eastAsia="en-US"/>
        </w:rPr>
        <w:t xml:space="preserve"> 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Produženi boravak u OŠ </w:t>
      </w:r>
      <w:proofErr w:type="spellStart"/>
      <w:r>
        <w:rPr>
          <w:rFonts w:eastAsia="Calibri"/>
          <w:color w:val="000000" w:themeColor="text1"/>
        </w:rPr>
        <w:t>Retfala</w:t>
      </w:r>
      <w:proofErr w:type="spellEnd"/>
      <w:r>
        <w:rPr>
          <w:rFonts w:eastAsia="Calibri"/>
          <w:color w:val="000000" w:themeColor="text1"/>
        </w:rPr>
        <w:t xml:space="preserve"> organiziran je radi proširenja odgojno-obrazovnog djelovanja te zbrinjavanja djece do povratka roditelja s posla. Program je predviđen za učenike prvog, drugog i trećeg i četvrtog razreda. Jedna skupina učenika u produženom boravku treba imati minimalno 15 učenika. U OŠ </w:t>
      </w:r>
      <w:proofErr w:type="spellStart"/>
      <w:r>
        <w:rPr>
          <w:rFonts w:eastAsia="Calibri"/>
          <w:color w:val="000000" w:themeColor="text1"/>
        </w:rPr>
        <w:t>Retfala</w:t>
      </w:r>
      <w:proofErr w:type="spellEnd"/>
      <w:r>
        <w:rPr>
          <w:rFonts w:eastAsia="Calibri"/>
          <w:color w:val="000000" w:themeColor="text1"/>
        </w:rPr>
        <w:t xml:space="preserve"> organizirano je šest skupina.</w:t>
      </w:r>
    </w:p>
    <w:p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bCs/>
          <w:color w:val="000000" w:themeColor="text1"/>
        </w:rPr>
      </w:pPr>
      <w:r>
        <w:rPr>
          <w:rFonts w:eastAsia="Calibri"/>
          <w:bCs/>
          <w:color w:val="000000" w:themeColor="text1"/>
        </w:rPr>
        <w:t xml:space="preserve">Grad Osijek iz općih prihoda i primitaka izdvaja sredstva za plaće učiteljica, a dijelom se one sufinanciraju i od strane roditelja u iznosu od 25,00 € mjesečno za učenike prvog i drugog razreda odnosno 50,00 € za učenike trećeg i četvrtog razreda. Roditelji financiraju i topli obrok u produženom boravku. 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Cilj aktivnosti 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Cs/>
          <w:color w:val="000000" w:themeColor="text1"/>
        </w:rPr>
        <w:t>Proširiti odgojno-obrazovno djelovanje škole te zbrinuti učenike do povratka roditelja s posla.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Pokazatelji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lang w:eastAsia="en-US"/>
        </w:rPr>
        <w:t>Interes roditelja za uključivanje učenika u program produženog boravka. Aktivno sudjelovanje učenika i učiteljica u aktivnostima škole.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Zakonske i druge pravne osnove</w:t>
      </w:r>
    </w:p>
    <w:p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lastRenderedPageBreak/>
        <w:t>Zakon o odgoju i obrazovanju u osnovnoj i srednjoj školi  (Narodne novine br. 87/08, 86/09, 92/10, 105/10-ispr.,  90/11, 5/12, 16/12, 86/12, 126/12-pročišćeni tekst, 94/13, 152/14, 7/17, 68/18, 98/19 i 64/20).</w:t>
      </w:r>
    </w:p>
    <w:p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Odluka o kriterijima produženog boravka u osnovnim školama grada Osijeka na području grada Osijeka (Službeni glasnik grada Osijeka broj 12/19). Program javnih potreba u osnovnom školstvu i posebnim programima obrazovanja i znanosti na području Grada Osijeka za 2023.</w:t>
      </w:r>
    </w:p>
    <w:p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color w:val="000000" w:themeColor="text1"/>
        </w:rPr>
      </w:pPr>
    </w:p>
    <w:p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b/>
          <w:bCs/>
          <w:color w:val="000000" w:themeColor="text1"/>
          <w:lang w:eastAsia="en-US"/>
        </w:rPr>
      </w:pPr>
    </w:p>
    <w:p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b/>
          <w:bCs/>
          <w:color w:val="000000" w:themeColor="text1"/>
          <w:lang w:eastAsia="en-US"/>
        </w:rPr>
      </w:pPr>
    </w:p>
    <w:p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OBRAZLOŽENJE AKTIVNOSTI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T106111 Osigurajmo im </w:t>
      </w:r>
      <w:proofErr w:type="spellStart"/>
      <w:r>
        <w:rPr>
          <w:rFonts w:eastAsia="Calibri"/>
          <w:b/>
          <w:bCs/>
          <w:color w:val="000000" w:themeColor="text1"/>
          <w:lang w:eastAsia="en-US"/>
        </w:rPr>
        <w:t>JEdnaKost</w:t>
      </w:r>
      <w:proofErr w:type="spellEnd"/>
      <w:r>
        <w:rPr>
          <w:rFonts w:eastAsia="Calibri"/>
          <w:b/>
          <w:bCs/>
          <w:color w:val="000000" w:themeColor="text1"/>
          <w:lang w:eastAsia="en-US"/>
        </w:rPr>
        <w:t xml:space="preserve"> 8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4"/>
        <w:gridCol w:w="13"/>
        <w:gridCol w:w="2150"/>
        <w:gridCol w:w="2117"/>
        <w:gridCol w:w="2252"/>
      </w:tblGrid>
      <w:t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Plan 2025. (EUR)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Projekcija 2006. (EUR)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Projekcija 2027. (EUR)</w:t>
            </w:r>
          </w:p>
        </w:tc>
      </w:tr>
      <w:t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T106111 Osigurajmo im </w:t>
            </w: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JEdnaKost</w:t>
            </w:r>
            <w:proofErr w:type="spellEnd"/>
            <w:r>
              <w:rPr>
                <w:rFonts w:eastAsia="Calibri"/>
                <w:color w:val="000000" w:themeColor="text1"/>
                <w:lang w:eastAsia="en-US"/>
              </w:rPr>
              <w:t xml:space="preserve"> 7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144.592,00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146.036,00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148.957,00</w:t>
            </w:r>
          </w:p>
        </w:tc>
      </w:tr>
    </w:tbl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b/>
          <w:color w:val="000000" w:themeColor="text1"/>
          <w:lang w:eastAsia="en-US"/>
        </w:rPr>
        <w:t>Opis aktivnosti</w:t>
      </w:r>
      <w:r>
        <w:rPr>
          <w:rFonts w:eastAsia="Calibri"/>
          <w:color w:val="000000" w:themeColor="text1"/>
          <w:lang w:eastAsia="en-US"/>
        </w:rPr>
        <w:t xml:space="preserve"> </w:t>
      </w:r>
    </w:p>
    <w:p>
      <w:pPr>
        <w:overflowPunct w:val="0"/>
        <w:autoSpaceDE w:val="0"/>
        <w:autoSpaceDN w:val="0"/>
        <w:jc w:val="both"/>
        <w:textAlignment w:val="baseline"/>
      </w:pPr>
      <w:r>
        <w:t>„</w:t>
      </w:r>
      <w:proofErr w:type="spellStart"/>
      <w:r>
        <w:t>OSIgurajmo</w:t>
      </w:r>
      <w:proofErr w:type="spellEnd"/>
      <w:r>
        <w:t xml:space="preserve"> im </w:t>
      </w:r>
      <w:proofErr w:type="spellStart"/>
      <w:r>
        <w:t>JEdnaKost</w:t>
      </w:r>
      <w:proofErr w:type="spellEnd"/>
      <w:r>
        <w:t xml:space="preserve"> 8“ projekt je Grada Osijeka kojim se financira osiguravanje pomoćnika u nastavi i stručnih komunikacijskih posrednika učenicima s teškoćama u razvoju u osnovnoškolskim odgojno-obrazovnim ustanovama, a provedba projekta započela je  u kolovozu 2024. godine .</w:t>
      </w:r>
    </w:p>
    <w:p>
      <w:pPr>
        <w:overflowPunct w:val="0"/>
        <w:autoSpaceDE w:val="0"/>
        <w:autoSpaceDN w:val="0"/>
        <w:jc w:val="both"/>
        <w:textAlignment w:val="baseline"/>
      </w:pPr>
      <w:r>
        <w:t xml:space="preserve">U OŠ </w:t>
      </w:r>
      <w:proofErr w:type="spellStart"/>
      <w:r>
        <w:t>Retfala</w:t>
      </w:r>
      <w:proofErr w:type="spellEnd"/>
      <w:r>
        <w:t xml:space="preserve"> u projekt je uključeno 9 učenika s teškoćama i 10 pomoćnika u nastavi.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Cilj aktivnosti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bCs/>
          <w:color w:val="000000" w:themeColor="text1"/>
        </w:rPr>
        <w:t>Učenicima koji imaju odluke o primjerenom obliku školovanja omogućiti podršku asistenta u nastavi.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Pokazatelji 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bCs/>
          <w:color w:val="000000" w:themeColor="text1"/>
        </w:rPr>
        <w:t>Uspješno savladavanje nastavnoga gradiva i socijalizacija učenika.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Zakonske i druge pravne osnove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Program javnih potreba u osnovnom školstvu i posebnim programima obrazovanja i znanosti na području Grada Osijeka za 2023.</w:t>
      </w:r>
    </w:p>
    <w:p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OBRAZLOŽENJE TEKUĆEG PROJEKTA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T106112 Školska shema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3"/>
        <w:gridCol w:w="13"/>
        <w:gridCol w:w="2150"/>
        <w:gridCol w:w="2117"/>
        <w:gridCol w:w="2253"/>
      </w:tblGrid>
      <w:tr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Plan 2025. (EUR)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Projekcija 2026. (EUR)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Projekcija 2027. (EUR)</w:t>
            </w:r>
          </w:p>
        </w:tc>
      </w:tr>
      <w:t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T106112 Školska shema 4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3.242,00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0,00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0,00</w:t>
            </w:r>
          </w:p>
        </w:tc>
      </w:tr>
    </w:tbl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color w:val="000000" w:themeColor="text1"/>
          <w:lang w:eastAsia="en-US"/>
        </w:rPr>
      </w:pPr>
      <w:r>
        <w:rPr>
          <w:rFonts w:eastAsia="Calibri"/>
          <w:b/>
          <w:color w:val="000000" w:themeColor="text1"/>
          <w:lang w:eastAsia="en-US"/>
        </w:rPr>
        <w:t>Opis aktivnosti</w:t>
      </w:r>
    </w:p>
    <w:p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rFonts w:eastAsia="Calibri"/>
          <w:color w:val="000000" w:themeColor="text1"/>
          <w:lang w:eastAsia="en-US"/>
        </w:rPr>
        <w:t xml:space="preserve">Osnovna škola </w:t>
      </w:r>
      <w:proofErr w:type="spellStart"/>
      <w:r>
        <w:rPr>
          <w:rFonts w:eastAsia="Calibri"/>
          <w:color w:val="000000" w:themeColor="text1"/>
          <w:lang w:eastAsia="en-US"/>
        </w:rPr>
        <w:t>Retfala</w:t>
      </w:r>
      <w:proofErr w:type="spellEnd"/>
      <w:r>
        <w:rPr>
          <w:rFonts w:eastAsia="Calibri"/>
          <w:color w:val="000000" w:themeColor="text1"/>
          <w:lang w:eastAsia="en-US"/>
        </w:rPr>
        <w:t xml:space="preserve"> sudjeluje u projektu Grada Osijeka Š</w:t>
      </w:r>
      <w:r>
        <w:t>kolska shema na način da učenicima od prvog do osmog razreda raspodjeljujemo voće i povrće i mlijeko i mliječne proizvode.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lastRenderedPageBreak/>
        <w:t xml:space="preserve">Cilj aktivnosti </w:t>
      </w:r>
    </w:p>
    <w:p>
      <w:pPr>
        <w:jc w:val="both"/>
      </w:pPr>
      <w:r>
        <w:t>Osigurati svim učenicima konzumaciju mlijeka i mliječnih proizvoda, kao i voća i povrća.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FF0000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Pokazatelji 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t>Redovito osiguravanje voća i povrća i mlijeka i mliječnih proizvoda što je potkrijepljeno otpremnicama i računima.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Zakonske i druge pravne osnove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Program javnih potreba u osnovnom školstvu i posebnim programima obrazovanja i znanosti na području Grada Osijeka za 2023.</w:t>
      </w:r>
    </w:p>
    <w:p>
      <w:pPr>
        <w:keepNext/>
        <w:keepLines/>
        <w:pBdr>
          <w:top w:val="single" w:sz="4" w:space="1" w:color="auto"/>
          <w:bottom w:val="single" w:sz="4" w:space="1" w:color="auto"/>
        </w:pBdr>
        <w:spacing w:before="840" w:after="120"/>
        <w:jc w:val="both"/>
        <w:outlineLvl w:val="3"/>
        <w:rPr>
          <w:rFonts w:eastAsia="Calibri"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OBRAZLOŽENJE TEKUĆEG PROJEKTA</w:t>
      </w:r>
    </w:p>
    <w:p>
      <w:pPr>
        <w:spacing w:line="240" w:lineRule="atLeast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T106104 ERASMUS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3"/>
        <w:gridCol w:w="13"/>
        <w:gridCol w:w="2150"/>
        <w:gridCol w:w="2117"/>
        <w:gridCol w:w="2253"/>
      </w:tblGrid>
      <w:tr>
        <w:trPr>
          <w:trHeight w:val="300"/>
        </w:trPr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Plan 2025. (EUR)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Projekcija 2026. (EUR)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Projekcija 2027. (EUR)</w:t>
            </w:r>
          </w:p>
        </w:tc>
      </w:tr>
      <w:tr>
        <w:trPr>
          <w:trHeight w:val="30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T106104 ERASMUS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right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21.660,00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right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21.876,00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right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22.314,00</w:t>
            </w:r>
          </w:p>
        </w:tc>
      </w:tr>
    </w:tbl>
    <w:p>
      <w:pPr>
        <w:jc w:val="both"/>
        <w:rPr>
          <w:rFonts w:eastAsia="Calibri"/>
          <w:color w:val="000000" w:themeColor="text1"/>
          <w:lang w:eastAsia="en-US"/>
        </w:rPr>
      </w:pPr>
    </w:p>
    <w:p>
      <w:pPr>
        <w:jc w:val="both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Opis aktivnosti</w:t>
      </w:r>
    </w:p>
    <w:p>
      <w:pPr>
        <w:jc w:val="both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Osnovna škola </w:t>
      </w:r>
      <w:proofErr w:type="spellStart"/>
      <w:r>
        <w:rPr>
          <w:rFonts w:eastAsia="Calibri"/>
          <w:color w:val="000000" w:themeColor="text1"/>
          <w:lang w:eastAsia="en-US"/>
        </w:rPr>
        <w:t>Retfala</w:t>
      </w:r>
      <w:proofErr w:type="spellEnd"/>
      <w:r>
        <w:rPr>
          <w:rFonts w:eastAsia="Calibri"/>
          <w:color w:val="000000" w:themeColor="text1"/>
          <w:lang w:eastAsia="en-US"/>
        </w:rPr>
        <w:t xml:space="preserve"> sudjeluje u projektu </w:t>
      </w:r>
      <w:proofErr w:type="spellStart"/>
      <w:r>
        <w:rPr>
          <w:rFonts w:eastAsia="Calibri"/>
          <w:color w:val="000000" w:themeColor="text1"/>
          <w:lang w:eastAsia="en-US"/>
        </w:rPr>
        <w:t>Erasmus</w:t>
      </w:r>
      <w:proofErr w:type="spellEnd"/>
      <w:r>
        <w:rPr>
          <w:rFonts w:eastAsia="Calibri"/>
          <w:color w:val="000000" w:themeColor="text1"/>
          <w:lang w:eastAsia="en-US"/>
        </w:rPr>
        <w:t xml:space="preserve"> na način da podupire prioritete i aktivnosti u okviru europskog prostora obrazovanja.</w:t>
      </w:r>
    </w:p>
    <w:p>
      <w:pPr>
        <w:jc w:val="both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Cilj aktivnosti </w:t>
      </w:r>
    </w:p>
    <w:p>
      <w:pPr>
        <w:jc w:val="both"/>
      </w:pPr>
      <w:r>
        <w:t xml:space="preserve">Jačanje obrazovnog procesa i razvijanje europske dimenzije OŠ </w:t>
      </w:r>
      <w:proofErr w:type="spellStart"/>
      <w:r>
        <w:t>Retfala</w:t>
      </w:r>
      <w:proofErr w:type="spellEnd"/>
      <w:r>
        <w:t xml:space="preserve"> te inovativnost i kreativnost u nastavnom procesu.</w:t>
      </w:r>
    </w:p>
    <w:p>
      <w:pPr>
        <w:spacing w:line="240" w:lineRule="atLeast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Pokazatelji </w:t>
      </w:r>
    </w:p>
    <w:p>
      <w:pPr>
        <w:spacing w:line="240" w:lineRule="atLeast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Povećanje kvalitete nastavnog procesa. </w:t>
      </w:r>
      <w:r>
        <w:rPr>
          <w:rFonts w:eastAsia="Calibri"/>
          <w:lang w:eastAsia="en-US"/>
        </w:rPr>
        <w:t>Aktivno sudjelovanje učenika i učitelja u aktivnostima škole.</w:t>
      </w:r>
    </w:p>
    <w:p>
      <w:pPr>
        <w:spacing w:line="240" w:lineRule="atLeast"/>
        <w:jc w:val="both"/>
        <w:rPr>
          <w:rFonts w:eastAsia="Calibri"/>
          <w:color w:val="000000" w:themeColor="text1"/>
          <w:lang w:eastAsia="en-US"/>
        </w:rPr>
      </w:pPr>
    </w:p>
    <w:p>
      <w:pPr>
        <w:spacing w:line="240" w:lineRule="atLeast"/>
        <w:jc w:val="both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Zakonske i druge pravne osnove</w:t>
      </w:r>
    </w:p>
    <w:p>
      <w:pPr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>
      <w:pPr>
        <w:jc w:val="both"/>
        <w:rPr>
          <w:rFonts w:eastAsia="Calibri"/>
          <w:color w:val="000000" w:themeColor="text1"/>
        </w:rPr>
      </w:pPr>
    </w:p>
    <w:p>
      <w:pPr>
        <w:jc w:val="both"/>
        <w:rPr>
          <w:rFonts w:eastAsia="Calibri"/>
          <w:color w:val="000000" w:themeColor="text1"/>
        </w:rPr>
      </w:pPr>
    </w:p>
    <w:p>
      <w:pPr>
        <w:keepNext/>
        <w:pBdr>
          <w:top w:val="single" w:sz="4" w:space="0" w:color="auto"/>
          <w:bottom w:val="single" w:sz="4" w:space="1" w:color="auto"/>
        </w:pBdr>
        <w:shd w:val="clear" w:color="auto" w:fill="E6E6E6"/>
        <w:overflowPunct w:val="0"/>
        <w:autoSpaceDE w:val="0"/>
        <w:autoSpaceDN w:val="0"/>
        <w:adjustRightInd w:val="0"/>
        <w:spacing w:before="720" w:after="120"/>
        <w:jc w:val="both"/>
        <w:textAlignment w:val="baseline"/>
        <w:outlineLvl w:val="1"/>
        <w:rPr>
          <w:rFonts w:eastAsia="Calibri"/>
          <w:b/>
          <w:color w:val="000000" w:themeColor="text1"/>
          <w:spacing w:val="20"/>
          <w:lang w:eastAsia="en-US"/>
        </w:rPr>
      </w:pPr>
      <w:r>
        <w:rPr>
          <w:rFonts w:eastAsia="Calibri"/>
          <w:b/>
          <w:color w:val="000000" w:themeColor="text1"/>
          <w:spacing w:val="20"/>
          <w:lang w:eastAsia="en-US"/>
        </w:rPr>
        <w:t>1062 Ulaganje u objekte osnovnih škola</w:t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Grad Osijek kao osnivač izdvaja značajna sredstva iz decentralizirane funkcije koja su usmjerena na poboljšanje standarda OŠ </w:t>
      </w:r>
      <w:proofErr w:type="spellStart"/>
      <w:r>
        <w:rPr>
          <w:color w:val="000000" w:themeColor="text1"/>
        </w:rPr>
        <w:t>Retfala</w:t>
      </w:r>
      <w:proofErr w:type="spellEnd"/>
      <w:r>
        <w:rPr>
          <w:color w:val="000000" w:themeColor="text1"/>
        </w:rPr>
        <w:t xml:space="preserve"> u smislu ulaganja u objekt škole i kroz nabavku opreme.</w:t>
      </w:r>
    </w:p>
    <w:p>
      <w:pPr>
        <w:spacing w:before="120" w:line="240" w:lineRule="atLeast"/>
        <w:jc w:val="both"/>
        <w:rPr>
          <w:rFonts w:eastAsia="Calibri"/>
          <w:lang w:eastAsia="en-US"/>
        </w:rPr>
      </w:pPr>
    </w:p>
    <w:p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Poslovni zadatci planirani su kroz aktivnost :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() A106202 Uređenje i opremanje škola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eastAsia="Calibri"/>
        </w:rPr>
      </w:pPr>
      <w:r>
        <w:rPr>
          <w:rFonts w:eastAsia="Calibri"/>
          <w:lang w:eastAsia="en-US"/>
        </w:rPr>
        <w:t xml:space="preserve">U Programu 1062 Ulaganje u objekte osnovnih škola planirana su sredstva u iznosu od </w:t>
      </w:r>
      <w:r>
        <w:rPr>
          <w:rFonts w:eastAsia="Calibri"/>
        </w:rPr>
        <w:t xml:space="preserve">51.464,00 </w:t>
      </w:r>
      <w:r>
        <w:rPr>
          <w:rFonts w:eastAsia="Calibri"/>
          <w:lang w:eastAsia="en-US"/>
        </w:rPr>
        <w:t xml:space="preserve">eura u 2025., </w:t>
      </w:r>
      <w:r>
        <w:rPr>
          <w:rFonts w:eastAsia="Calibri"/>
        </w:rPr>
        <w:t xml:space="preserve">51.979,00 </w:t>
      </w:r>
      <w:r>
        <w:rPr>
          <w:rFonts w:eastAsia="Calibri"/>
          <w:lang w:eastAsia="en-US"/>
        </w:rPr>
        <w:t xml:space="preserve">eura u 2026. i </w:t>
      </w:r>
      <w:r>
        <w:rPr>
          <w:rFonts w:eastAsia="Calibri"/>
        </w:rPr>
        <w:t xml:space="preserve">53.017,00 </w:t>
      </w:r>
      <w:r>
        <w:rPr>
          <w:rFonts w:eastAsia="Calibri"/>
          <w:lang w:eastAsia="en-US"/>
        </w:rPr>
        <w:t>eura u 2027.</w:t>
      </w:r>
    </w:p>
    <w:p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5"/>
        <w:gridCol w:w="25"/>
        <w:gridCol w:w="2295"/>
        <w:gridCol w:w="2091"/>
        <w:gridCol w:w="2110"/>
      </w:tblGrid>
      <w:t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Plan 2025. (EUR)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Projekcija 2026. (EUR)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Projekcija 2027. (EUR)</w:t>
            </w:r>
          </w:p>
        </w:tc>
      </w:tr>
      <w:t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A106202 Uređenje i opremanje škola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</w:rPr>
            </w:pPr>
            <w:bookmarkStart w:id="1" w:name="_Hlk186453897"/>
            <w:r>
              <w:rPr>
                <w:rFonts w:eastAsia="Calibri"/>
              </w:rPr>
              <w:t>51.464,00</w:t>
            </w:r>
            <w:bookmarkEnd w:id="1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51.979,00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53.017,00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</w:rPr>
            </w:pPr>
          </w:p>
        </w:tc>
      </w:tr>
      <w:t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lang w:eastAsia="en-US"/>
              </w:rPr>
              <w:t>Ukupno 1062 Ulaganje u objekte osnovnih škola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51.464,00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51.979,00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53.017,00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</w:rPr>
            </w:pPr>
          </w:p>
        </w:tc>
      </w:tr>
    </w:tbl>
    <w:p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OBRAZLOŽENJE AKTIVNOSTI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A106202 Uređenje i opremanje škola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4"/>
        <w:gridCol w:w="13"/>
        <w:gridCol w:w="2150"/>
        <w:gridCol w:w="2117"/>
        <w:gridCol w:w="2252"/>
      </w:tblGrid>
      <w:t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Plan 2025. (EUR)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Projekcija 2026. (EUR)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Projekcija 2027. (EUR)</w:t>
            </w:r>
          </w:p>
        </w:tc>
      </w:tr>
      <w:t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A106202 Uređenje i opremanje škola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51.464,00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51.979,00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53.017,00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color w:val="000000" w:themeColor="text1"/>
          <w:lang w:eastAsia="en-US"/>
        </w:rPr>
      </w:pPr>
      <w:r>
        <w:rPr>
          <w:rFonts w:eastAsia="Calibri"/>
          <w:b/>
          <w:color w:val="000000" w:themeColor="text1"/>
          <w:lang w:eastAsia="en-US"/>
        </w:rPr>
        <w:t>Opis aktivnosti</w:t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>Za potrebe boljeg opremanja škola planiramo nabaviti računala, školski namještaj te kuhinjsku opremu; lektiru za školsku knjižicu – financira MZO.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Cilj aktivnosti 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</w:rPr>
        <w:t>Zamijeniti dotrajala nastavna sredstva i pomagala, školski namještaj, opremu za čišćenje, kuhinjsku opremu s ciljem podizanja standarda škole.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FF0000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Pokazatelji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Nabavka planirane opreme potkrijepljeno ponudama, otpremnicama i računima u skladu sa zakonom.</w:t>
      </w:r>
    </w:p>
    <w:p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Zakonske i druge pravne osnove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Program javnih potreba u osnovnom školstvu i posebnim programima obrazovanja i znanosti na području Grada Osijeka za 2024.,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Odluka o kriterijima i mjerilima za utvrđivanje bilančnih prava za financiranje minimalnog financijskog standarda javnih potreba osnovnog školstva u Gradu Osijeku za 2024.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>
        <w:rPr>
          <w:rFonts w:eastAsia="Calibri"/>
        </w:rPr>
        <w:t>Plan rashoda za nabavu proizvedene dugotrajne imovine i dodatna ulaganja na nefinancijskoj imovini u školstvu na području Grada Osijeka za 2024. godinu.</w:t>
      </w:r>
    </w:p>
    <w:p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>
      <w:pPr>
        <w:ind w:left="4248" w:firstLine="708"/>
        <w:rPr>
          <w:rFonts w:ascii="Arial" w:hAnsi="Arial" w:cs="Arial"/>
        </w:rPr>
      </w:pPr>
    </w:p>
    <w:p>
      <w:pPr>
        <w:keepNext/>
        <w:pBdr>
          <w:top w:val="single" w:sz="4" w:space="0" w:color="auto"/>
          <w:bottom w:val="single" w:sz="4" w:space="1" w:color="auto"/>
        </w:pBdr>
        <w:shd w:val="clear" w:color="auto" w:fill="E6E6E6"/>
        <w:spacing w:before="720" w:after="120"/>
        <w:jc w:val="both"/>
        <w:outlineLvl w:val="1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lastRenderedPageBreak/>
        <w:t>1063 Tekuće i investicijsko održavanje osnovnih škola</w:t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Grad Osijek kao osnivač izdvaja značajna sredstva iz decentralizirane funkcije koja su usmjerena na poboljšanje standarda OŠ </w:t>
      </w:r>
      <w:proofErr w:type="spellStart"/>
      <w:r>
        <w:rPr>
          <w:color w:val="000000" w:themeColor="text1"/>
        </w:rPr>
        <w:t>Retfala</w:t>
      </w:r>
      <w:proofErr w:type="spellEnd"/>
      <w:r>
        <w:rPr>
          <w:color w:val="000000" w:themeColor="text1"/>
        </w:rPr>
        <w:t xml:space="preserve"> u smislu ulaganja u objekt škole i kroz tekuće i investicijsko održavanje škole.</w:t>
      </w:r>
    </w:p>
    <w:p>
      <w:pPr>
        <w:spacing w:before="120" w:line="240" w:lineRule="atLeas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Poslovni zadatci planirani su kroz aktivnost :</w:t>
      </w:r>
    </w:p>
    <w:p>
      <w:pPr>
        <w:spacing w:line="240" w:lineRule="atLeast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() A106301 Tekuće i investicijsko održavanje osnovnih škola</w:t>
      </w:r>
    </w:p>
    <w:p>
      <w:pPr>
        <w:spacing w:line="240" w:lineRule="atLeast"/>
        <w:jc w:val="both"/>
        <w:rPr>
          <w:rFonts w:eastAsia="Calibri"/>
          <w:color w:val="000000" w:themeColor="text1"/>
          <w:lang w:eastAsia="en-US"/>
        </w:rPr>
      </w:pPr>
    </w:p>
    <w:p>
      <w:pPr>
        <w:spacing w:before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 Programu 1063 Tekuće i investicijsko održavanje osnovnih škola planirana su sredstva u iznosu od </w:t>
      </w:r>
      <w:r>
        <w:rPr>
          <w:rFonts w:eastAsia="Calibri"/>
        </w:rPr>
        <w:t xml:space="preserve">8.350,00 </w:t>
      </w:r>
      <w:r>
        <w:rPr>
          <w:rFonts w:eastAsia="Calibri"/>
          <w:lang w:eastAsia="en-US"/>
        </w:rPr>
        <w:t xml:space="preserve">eura u 2025., </w:t>
      </w:r>
      <w:r>
        <w:rPr>
          <w:rFonts w:eastAsia="Calibri"/>
        </w:rPr>
        <w:t>8.434,00</w:t>
      </w:r>
      <w:r>
        <w:rPr>
          <w:rFonts w:eastAsia="Calibri"/>
          <w:lang w:eastAsia="en-US"/>
        </w:rPr>
        <w:t xml:space="preserve"> eura u 2026. i </w:t>
      </w:r>
      <w:r>
        <w:rPr>
          <w:rFonts w:eastAsia="Calibri"/>
        </w:rPr>
        <w:t xml:space="preserve">8.602,00 </w:t>
      </w:r>
      <w:r>
        <w:rPr>
          <w:rFonts w:eastAsia="Calibri"/>
          <w:lang w:eastAsia="en-US"/>
        </w:rPr>
        <w:t>eura u 2027.</w:t>
      </w:r>
    </w:p>
    <w:p>
      <w:pPr>
        <w:spacing w:before="120"/>
        <w:jc w:val="both"/>
        <w:rPr>
          <w:rFonts w:eastAsia="Calibri"/>
          <w:color w:val="000000" w:themeColor="text1"/>
          <w:lang w:eastAsia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5"/>
        <w:gridCol w:w="172"/>
        <w:gridCol w:w="2104"/>
        <w:gridCol w:w="2182"/>
        <w:gridCol w:w="2256"/>
      </w:tblGrid>
      <w:tr>
        <w:trPr>
          <w:trHeight w:val="300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Plan 2025. (EUR)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Projekcija 2026. (EUR)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>
            <w:pPr>
              <w:spacing w:before="120" w:after="1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Projekcija 2027. (EUR)</w:t>
            </w:r>
          </w:p>
        </w:tc>
      </w:tr>
      <w:tr>
        <w:trPr>
          <w:trHeight w:val="300"/>
        </w:trPr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tLeast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A106203 Tekuće i investicijsko održavanje osnovnih škola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right"/>
              <w:rPr>
                <w:rFonts w:eastAsia="Calibri"/>
              </w:rPr>
            </w:pPr>
            <w:bookmarkStart w:id="2" w:name="_Hlk186453811"/>
            <w:r>
              <w:rPr>
                <w:rFonts w:eastAsia="Calibri"/>
              </w:rPr>
              <w:t>8.350,00</w:t>
            </w:r>
            <w:bookmarkEnd w:id="2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right"/>
            </w:pPr>
            <w:r>
              <w:rPr>
                <w:rFonts w:eastAsia="Calibri"/>
              </w:rPr>
              <w:t>8.434,00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8.602,00</w:t>
            </w:r>
          </w:p>
        </w:tc>
      </w:tr>
      <w:tr>
        <w:trPr>
          <w:trHeight w:val="300"/>
        </w:trPr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tLeast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Ukupno A106203 Tekuće i investicijsko održavanje osnovnih škola</w:t>
            </w:r>
          </w:p>
          <w:p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8.350,00</w:t>
            </w:r>
          </w:p>
          <w:p>
            <w:pPr>
              <w:spacing w:before="120" w:after="120"/>
              <w:jc w:val="right"/>
              <w:rPr>
                <w:rFonts w:eastAsia="Calibri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8.434,00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8.602,00</w:t>
            </w:r>
          </w:p>
        </w:tc>
      </w:tr>
    </w:tbl>
    <w:p>
      <w:pPr>
        <w:jc w:val="both"/>
        <w:rPr>
          <w:color w:val="000000" w:themeColor="text1"/>
        </w:rPr>
      </w:pPr>
    </w:p>
    <w:p>
      <w:pPr>
        <w:jc w:val="both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Opis aktivnosti</w:t>
      </w:r>
    </w:p>
    <w:p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Popravaci</w:t>
      </w:r>
      <w:proofErr w:type="spellEnd"/>
      <w:r>
        <w:rPr>
          <w:color w:val="000000" w:themeColor="text1"/>
        </w:rPr>
        <w:t xml:space="preserve"> zgrade OŠ </w:t>
      </w:r>
      <w:proofErr w:type="spellStart"/>
      <w:r>
        <w:rPr>
          <w:color w:val="000000" w:themeColor="text1"/>
        </w:rPr>
        <w:t>Retfala</w:t>
      </w:r>
      <w:proofErr w:type="spellEnd"/>
      <w:r>
        <w:rPr>
          <w:color w:val="000000" w:themeColor="text1"/>
        </w:rPr>
        <w:t>.</w:t>
      </w:r>
    </w:p>
    <w:p>
      <w:pPr>
        <w:spacing w:line="240" w:lineRule="atLeast"/>
        <w:jc w:val="both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Cilj aktivnosti </w:t>
      </w:r>
    </w:p>
    <w:p>
      <w:pPr>
        <w:spacing w:line="240" w:lineRule="atLeast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</w:rPr>
        <w:t>Podizanje standarda škole te poboljšanje kvalitete rada.</w:t>
      </w:r>
    </w:p>
    <w:p>
      <w:pPr>
        <w:spacing w:line="240" w:lineRule="atLeast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Pokazatelji</w:t>
      </w:r>
    </w:p>
    <w:p>
      <w:pPr>
        <w:spacing w:line="240" w:lineRule="atLeast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Održavanje osnovne škole </w:t>
      </w:r>
      <w:proofErr w:type="spellStart"/>
      <w:r>
        <w:rPr>
          <w:rFonts w:eastAsia="Calibri"/>
          <w:color w:val="000000" w:themeColor="text1"/>
          <w:lang w:eastAsia="en-US"/>
        </w:rPr>
        <w:t>Retfala</w:t>
      </w:r>
      <w:proofErr w:type="spellEnd"/>
      <w:r>
        <w:rPr>
          <w:rFonts w:eastAsia="Calibri"/>
          <w:color w:val="000000" w:themeColor="text1"/>
          <w:lang w:eastAsia="en-US"/>
        </w:rPr>
        <w:t xml:space="preserve"> potkrijepljeno ponudama, otpremnicama i računima u skladu sa zakonom.</w:t>
      </w:r>
    </w:p>
    <w:p>
      <w:pPr>
        <w:spacing w:line="240" w:lineRule="atLeast"/>
        <w:jc w:val="both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Zakonske i druge pravne osnove</w:t>
      </w:r>
    </w:p>
    <w:p>
      <w:pPr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>
      <w:pPr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Program javnih potreba u osnovnom školstvu i posebnim programima obrazovanja i znanosti na području Grada Osijeka za 2022.,</w:t>
      </w:r>
    </w:p>
    <w:p>
      <w:pPr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Odluka o kriterijima i mjerilima za utvrđivanje bilančnih prava za financiranje minimalnog financijskog standarda javnih potreba osnovnog školstva u Gradu Osijeku za 2024.</w:t>
      </w:r>
    </w:p>
    <w:p>
      <w:pPr>
        <w:jc w:val="both"/>
        <w:rPr>
          <w:rFonts w:eastAsia="Calibri"/>
        </w:rPr>
      </w:pPr>
      <w:r>
        <w:rPr>
          <w:rFonts w:eastAsia="Calibri"/>
        </w:rPr>
        <w:t>Plan rashoda za nabavu proizvedene dugotrajne imovine i dodatna ulaganja na nefinancijskoj imovini u školstvu na području Grada Osijeka za 2024. godinu.</w:t>
      </w:r>
    </w:p>
    <w:p>
      <w:pPr>
        <w:ind w:left="4248" w:firstLine="708"/>
        <w:rPr>
          <w:rFonts w:ascii="Arial" w:hAnsi="Arial" w:cs="Arial"/>
        </w:rPr>
      </w:pPr>
    </w:p>
    <w:p>
      <w:pPr>
        <w:ind w:left="4248" w:firstLine="708"/>
        <w:rPr>
          <w:rFonts w:ascii="Arial" w:hAnsi="Arial" w:cs="Arial"/>
        </w:rPr>
      </w:pPr>
    </w:p>
    <w:p>
      <w:pPr>
        <w:ind w:left="4248" w:firstLine="708"/>
        <w:rPr>
          <w:rFonts w:ascii="Arial" w:hAnsi="Arial" w:cs="Arial"/>
        </w:rPr>
      </w:pPr>
    </w:p>
    <w:p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Ravnatelj</w:t>
      </w:r>
    </w:p>
    <w:p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Igor </w:t>
      </w:r>
      <w:proofErr w:type="spellStart"/>
      <w:r>
        <w:rPr>
          <w:rFonts w:ascii="Arial" w:hAnsi="Arial" w:cs="Arial"/>
        </w:rPr>
        <w:t>Kopić</w:t>
      </w:r>
      <w:proofErr w:type="spellEnd"/>
      <w:r>
        <w:rPr>
          <w:rFonts w:ascii="Arial" w:hAnsi="Arial" w:cs="Arial"/>
        </w:rPr>
        <w:t xml:space="preserve"> , prof.</w:t>
      </w:r>
    </w:p>
    <w:sectPr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F0DA7-9CA5-4E42-87A8-30D8A31D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61b630-1d91-40ab-8e9b-8e9455b049fe">
      <Terms xmlns="http://schemas.microsoft.com/office/infopath/2007/PartnerControls"/>
    </lcf76f155ced4ddcb4097134ff3c332f>
    <TaxCatchAll xmlns="8f68a5de-f7da-44ea-a0a6-768bc904f3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BB4E64C075144A97774078E840ADA8" ma:contentTypeVersion="16" ma:contentTypeDescription="Stvaranje novog dokumenta." ma:contentTypeScope="" ma:versionID="9c008c5746d8bd0b7ddefaf682232393">
  <xsd:schema xmlns:xsd="http://www.w3.org/2001/XMLSchema" xmlns:xs="http://www.w3.org/2001/XMLSchema" xmlns:p="http://schemas.microsoft.com/office/2006/metadata/properties" xmlns:ns2="6d61b630-1d91-40ab-8e9b-8e9455b049fe" xmlns:ns3="8f68a5de-f7da-44ea-a0a6-768bc904f3ae" targetNamespace="http://schemas.microsoft.com/office/2006/metadata/properties" ma:root="true" ma:fieldsID="00a94787328d935700254a82aa3fe154" ns2:_="" ns3:_="">
    <xsd:import namespace="6d61b630-1d91-40ab-8e9b-8e9455b049fe"/>
    <xsd:import namespace="8f68a5de-f7da-44ea-a0a6-768bc904f3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1b630-1d91-40ab-8e9b-8e9455b04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a674b04e-36ac-4328-96f0-c50880d96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8a5de-f7da-44ea-a0a6-768bc904f3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251bc6-9626-49bd-b247-48a84ca0b005}" ma:internalName="TaxCatchAll" ma:showField="CatchAllData" ma:web="8f68a5de-f7da-44ea-a0a6-768bc904f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8EE84-0997-4322-892D-57429421DC4F}">
  <ds:schemaRefs>
    <ds:schemaRef ds:uri="http://schemas.microsoft.com/office/2006/metadata/properties"/>
    <ds:schemaRef ds:uri="http://schemas.microsoft.com/office/infopath/2007/PartnerControls"/>
    <ds:schemaRef ds:uri="6d61b630-1d91-40ab-8e9b-8e9455b049fe"/>
    <ds:schemaRef ds:uri="8f68a5de-f7da-44ea-a0a6-768bc904f3ae"/>
  </ds:schemaRefs>
</ds:datastoreItem>
</file>

<file path=customXml/itemProps2.xml><?xml version="1.0" encoding="utf-8"?>
<ds:datastoreItem xmlns:ds="http://schemas.openxmlformats.org/officeDocument/2006/customXml" ds:itemID="{2940ACD4-107A-4419-98A3-F471328A8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61b630-1d91-40ab-8e9b-8e9455b049fe"/>
    <ds:schemaRef ds:uri="8f68a5de-f7da-44ea-a0a6-768bc904f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99E19E-FEED-48FF-B74C-BBC23F2522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282D28-3D93-4248-86BE-7F45CEF2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2844</Words>
  <Characters>16213</Characters>
  <Application>Microsoft Office Word</Application>
  <DocSecurity>0</DocSecurity>
  <Lines>135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Klobučar</dc:creator>
  <cp:keywords/>
  <dc:description/>
  <cp:lastModifiedBy>Ivana Birkić Tekavčić</cp:lastModifiedBy>
  <cp:revision>2</cp:revision>
  <cp:lastPrinted>2023-05-18T07:10:00Z</cp:lastPrinted>
  <dcterms:created xsi:type="dcterms:W3CDTF">2024-12-30T11:27:00Z</dcterms:created>
  <dcterms:modified xsi:type="dcterms:W3CDTF">2024-12-30T11:27:00Z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97c75b84-7374-4fb3-8772-4de5d5827977</vt:lpwstr>
  </property>
  <property fmtid="{D5CDD505-2E9C-101B-9397-08002B2CF9AE}" pid="3" name="ContentTypeId">
    <vt:lpwstr>0x01010056BB4E64C075144A97774078E840ADA8</vt:lpwstr>
  </property>
  <property fmtid="{D5CDD505-2E9C-101B-9397-08002B2CF9AE}" pid="4" name="MediaServiceImageTags">
    <vt:lpwstr/>
  </property>
</Properties>
</file>